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F2" w:rsidRPr="003D5488" w:rsidRDefault="00EA20F2" w:rsidP="00EA20F2">
      <w:pPr>
        <w:jc w:val="center"/>
        <w:rPr>
          <w:rStyle w:val="s7d2086b4"/>
          <w:rFonts w:ascii="Times New Roman" w:hAnsi="Times New Roman" w:cs="Times New Roman"/>
          <w:b/>
          <w:bCs/>
          <w:sz w:val="24"/>
          <w:szCs w:val="24"/>
        </w:rPr>
      </w:pPr>
      <w:r w:rsidRPr="003D5488">
        <w:rPr>
          <w:rFonts w:ascii="Times New Roman" w:hAnsi="Times New Roman" w:cs="Times New Roman"/>
          <w:noProof/>
          <w:sz w:val="24"/>
          <w:szCs w:val="24"/>
          <w:lang w:eastAsia="tr-TR"/>
        </w:rPr>
        <w:drawing>
          <wp:inline distT="0" distB="0" distL="0" distR="0" wp14:anchorId="58F5F676" wp14:editId="6EFD0281">
            <wp:extent cx="2962275" cy="1219200"/>
            <wp:effectExtent l="0" t="0" r="9525" b="0"/>
            <wp:docPr id="105" name="Picture 10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431FCA" w:rsidRDefault="00431FCA" w:rsidP="00EA20F2">
      <w:pPr>
        <w:jc w:val="center"/>
        <w:rPr>
          <w:rStyle w:val="s7d2086b4"/>
          <w:rFonts w:ascii="Times New Roman" w:hAnsi="Times New Roman" w:cs="Times New Roman"/>
          <w:b/>
          <w:bCs/>
          <w:sz w:val="24"/>
          <w:szCs w:val="24"/>
        </w:rPr>
      </w:pPr>
    </w:p>
    <w:p w:rsidR="00EA20F2" w:rsidRPr="003D5488" w:rsidRDefault="00EA20F2" w:rsidP="00EA20F2">
      <w:pPr>
        <w:jc w:val="center"/>
        <w:rPr>
          <w:rStyle w:val="s7d2086b4"/>
          <w:rFonts w:ascii="Times New Roman" w:hAnsi="Times New Roman" w:cs="Times New Roman"/>
          <w:sz w:val="24"/>
          <w:szCs w:val="24"/>
        </w:rPr>
      </w:pPr>
      <w:r w:rsidRPr="003D5488">
        <w:rPr>
          <w:rStyle w:val="s7d2086b4"/>
          <w:rFonts w:ascii="Times New Roman" w:hAnsi="Times New Roman" w:cs="Times New Roman"/>
          <w:b/>
          <w:bCs/>
          <w:sz w:val="24"/>
          <w:szCs w:val="24"/>
        </w:rPr>
        <w:t>BÜYÜK DAİRE</w:t>
      </w:r>
    </w:p>
    <w:p w:rsidR="00EA20F2" w:rsidRPr="003D5488" w:rsidRDefault="00EA20F2" w:rsidP="00EA20F2">
      <w:pPr>
        <w:pStyle w:val="sfec2223a"/>
        <w:shd w:val="clear" w:color="auto" w:fill="FFFFFF"/>
        <w:spacing w:before="1320" w:beforeAutospacing="0" w:after="280" w:afterAutospacing="0"/>
        <w:jc w:val="center"/>
      </w:pPr>
      <w:r w:rsidRPr="003D5488">
        <w:rPr>
          <w:rStyle w:val="s7d2086b4"/>
          <w:b/>
          <w:bCs/>
        </w:rPr>
        <w:t>SELAHATTİN DEMİRTAŞ v. TÜRKİYE DAVASI (No. 2)</w:t>
      </w:r>
    </w:p>
    <w:p w:rsidR="00EA20F2" w:rsidRPr="003D5488" w:rsidRDefault="00EA20F2" w:rsidP="00EA20F2">
      <w:pPr>
        <w:pStyle w:val="s32b251d"/>
        <w:shd w:val="clear" w:color="auto" w:fill="FFFFFF"/>
        <w:spacing w:before="0" w:beforeAutospacing="0" w:after="0" w:afterAutospacing="0"/>
        <w:jc w:val="center"/>
      </w:pPr>
      <w:r w:rsidRPr="003D5488">
        <w:rPr>
          <w:rStyle w:val="s6b621b36"/>
          <w:i/>
          <w:iCs/>
        </w:rPr>
        <w:t xml:space="preserve">(Başvuru </w:t>
      </w:r>
      <w:proofErr w:type="spellStart"/>
      <w:r w:rsidRPr="003D5488">
        <w:rPr>
          <w:rStyle w:val="s6b621b36"/>
          <w:i/>
          <w:iCs/>
        </w:rPr>
        <w:t>no</w:t>
      </w:r>
      <w:proofErr w:type="spellEnd"/>
      <w:r w:rsidRPr="003D5488">
        <w:rPr>
          <w:rStyle w:val="s6b621b36"/>
          <w:i/>
          <w:iCs/>
        </w:rPr>
        <w:t>. 14305/17)</w:t>
      </w:r>
    </w:p>
    <w:p w:rsidR="00EA20F2" w:rsidRPr="003D5488" w:rsidRDefault="00EA20F2" w:rsidP="00EA20F2">
      <w:pPr>
        <w:pStyle w:val="sc2bc8de"/>
        <w:shd w:val="clear" w:color="auto" w:fill="FFFFFF"/>
        <w:spacing w:before="0" w:beforeAutospacing="0" w:after="280" w:afterAutospacing="0"/>
        <w:jc w:val="center"/>
      </w:pPr>
    </w:p>
    <w:p w:rsidR="00EA20F2" w:rsidRPr="003D5488" w:rsidRDefault="00EA20F2" w:rsidP="00EA20F2">
      <w:pPr>
        <w:pStyle w:val="s14b2d8fa"/>
        <w:shd w:val="clear" w:color="auto" w:fill="FFFFFF"/>
        <w:spacing w:before="0" w:beforeAutospacing="0" w:after="0" w:afterAutospacing="0"/>
        <w:jc w:val="center"/>
        <w:rPr>
          <w:rStyle w:val="sae070d1d"/>
        </w:rPr>
      </w:pPr>
    </w:p>
    <w:p w:rsidR="00EA20F2" w:rsidRPr="003D5488" w:rsidRDefault="00EA20F2" w:rsidP="00EA20F2">
      <w:pPr>
        <w:pStyle w:val="s14b2d8fa"/>
        <w:shd w:val="clear" w:color="auto" w:fill="FFFFFF"/>
        <w:spacing w:before="0" w:beforeAutospacing="0" w:after="0" w:afterAutospacing="0"/>
        <w:jc w:val="center"/>
        <w:rPr>
          <w:rStyle w:val="sae070d1d"/>
        </w:rPr>
      </w:pPr>
      <w:r w:rsidRPr="003D5488">
        <w:rPr>
          <w:rStyle w:val="sae070d1d"/>
        </w:rPr>
        <w:t>KARAR</w:t>
      </w:r>
    </w:p>
    <w:p w:rsidR="00EA20F2" w:rsidRPr="003D5488" w:rsidRDefault="00EA20F2" w:rsidP="00EA20F2">
      <w:pPr>
        <w:pStyle w:val="sc2bc8de"/>
        <w:shd w:val="clear" w:color="auto" w:fill="FFFFFF"/>
        <w:spacing w:before="0" w:beforeAutospacing="0" w:after="280" w:afterAutospacing="0"/>
      </w:pPr>
    </w:p>
    <w:p w:rsidR="00EA20F2" w:rsidRPr="003D5488" w:rsidRDefault="00EA20F2" w:rsidP="00EA20F2">
      <w:pPr>
        <w:shd w:val="clear" w:color="auto" w:fill="FFFFFF"/>
        <w:spacing w:after="280"/>
        <w:jc w:val="center"/>
        <w:rPr>
          <w:rFonts w:ascii="Times New Roman" w:eastAsia="Times New Roman" w:hAnsi="Times New Roman" w:cs="Times New Roman"/>
          <w:sz w:val="24"/>
          <w:szCs w:val="24"/>
          <w:lang w:eastAsia="tr-TR"/>
        </w:rPr>
      </w:pPr>
    </w:p>
    <w:p w:rsidR="00EA20F2" w:rsidRPr="003D5488" w:rsidRDefault="00EA20F2" w:rsidP="00EA20F2">
      <w:pPr>
        <w:shd w:val="clear" w:color="auto" w:fill="FFFFFF"/>
        <w:spacing w:after="280"/>
        <w:jc w:val="center"/>
        <w:rPr>
          <w:rFonts w:ascii="Times New Roman" w:eastAsia="Times New Roman" w:hAnsi="Times New Roman" w:cs="Times New Roman"/>
          <w:sz w:val="24"/>
          <w:szCs w:val="24"/>
          <w:lang w:eastAsia="tr-TR"/>
        </w:rPr>
      </w:pPr>
    </w:p>
    <w:p w:rsidR="00EA20F2" w:rsidRPr="003D5488" w:rsidRDefault="00EA20F2" w:rsidP="00EA20F2">
      <w:pPr>
        <w:shd w:val="clear" w:color="auto" w:fill="FFFFFF"/>
        <w:spacing w:after="280"/>
        <w:jc w:val="center"/>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STRAZBURG</w:t>
      </w:r>
    </w:p>
    <w:p w:rsidR="00EA20F2" w:rsidRPr="003D5488" w:rsidRDefault="00EA20F2" w:rsidP="00EA20F2">
      <w:pPr>
        <w:shd w:val="clear" w:color="auto" w:fill="FFFFFF"/>
        <w:spacing w:after="280"/>
        <w:jc w:val="center"/>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22 ARALIK 2020</w:t>
      </w:r>
    </w:p>
    <w:p w:rsidR="00EA20F2" w:rsidRPr="003D5488" w:rsidRDefault="00EA20F2" w:rsidP="00EA20F2">
      <w:pPr>
        <w:shd w:val="clear" w:color="auto" w:fill="FFFFFF"/>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w:t>
      </w:r>
    </w:p>
    <w:p w:rsidR="00316CCD" w:rsidRPr="003D5488" w:rsidRDefault="00316CCD" w:rsidP="00EA20F2">
      <w:pPr>
        <w:shd w:val="clear" w:color="auto" w:fill="FFFFFF"/>
        <w:ind w:firstLine="284"/>
        <w:jc w:val="both"/>
        <w:rPr>
          <w:rFonts w:ascii="Times New Roman" w:eastAsia="Times New Roman" w:hAnsi="Times New Roman" w:cs="Times New Roman"/>
          <w:sz w:val="24"/>
          <w:szCs w:val="24"/>
          <w:lang w:eastAsia="tr-TR"/>
        </w:rPr>
      </w:pPr>
    </w:p>
    <w:p w:rsidR="00EA20F2" w:rsidRPr="003D5488" w:rsidRDefault="00EA20F2" w:rsidP="00EA20F2">
      <w:pPr>
        <w:shd w:val="clear" w:color="auto" w:fill="FFFFFF"/>
        <w:ind w:firstLine="284"/>
        <w:jc w:val="both"/>
        <w:rPr>
          <w:rFonts w:ascii="Times New Roman" w:eastAsia="Times New Roman" w:hAnsi="Times New Roman" w:cs="Times New Roman"/>
          <w:sz w:val="24"/>
          <w:szCs w:val="24"/>
          <w:lang w:eastAsia="tr-TR"/>
        </w:rPr>
      </w:pPr>
    </w:p>
    <w:p w:rsidR="00EA20F2" w:rsidRPr="003D5488" w:rsidRDefault="00316CCD" w:rsidP="00812749">
      <w:pPr>
        <w:spacing w:line="276" w:lineRule="auto"/>
        <w:jc w:val="center"/>
        <w:rPr>
          <w:rFonts w:ascii="Times New Roman" w:eastAsia="Times New Roman" w:hAnsi="Times New Roman" w:cs="Times New Roman"/>
          <w:sz w:val="24"/>
          <w:szCs w:val="24"/>
          <w:lang w:eastAsia="tr-TR"/>
        </w:rPr>
      </w:pPr>
      <w:r w:rsidRPr="003D5488">
        <w:rPr>
          <w:rStyle w:val="s2359e37b"/>
          <w:rFonts w:ascii="Times New Roman" w:hAnsi="Times New Roman" w:cs="Times New Roman"/>
          <w:i/>
          <w:iCs/>
          <w:sz w:val="24"/>
          <w:szCs w:val="24"/>
          <w:shd w:val="clear" w:color="auto" w:fill="FFFFFF"/>
        </w:rPr>
        <w:t>İşbu karar, kesindir ancak bazı şekli değişikliklere tabi tutulabilir.</w:t>
      </w:r>
    </w:p>
    <w:p w:rsidR="00812749" w:rsidRPr="003D5488" w:rsidRDefault="00812749" w:rsidP="00812749">
      <w:pPr>
        <w:spacing w:line="276" w:lineRule="auto"/>
        <w:jc w:val="center"/>
        <w:rPr>
          <w:rFonts w:ascii="Times New Roman" w:eastAsia="Times New Roman" w:hAnsi="Times New Roman" w:cs="Times New Roman"/>
          <w:sz w:val="24"/>
          <w:szCs w:val="24"/>
          <w:lang w:eastAsia="tr-TR"/>
        </w:rPr>
        <w:sectPr w:rsidR="00812749" w:rsidRPr="003D5488" w:rsidSect="007D6614">
          <w:headerReference w:type="default"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812749" w:rsidRPr="003D5488" w:rsidRDefault="00812749" w:rsidP="00812749">
      <w:pPr>
        <w:shd w:val="clear" w:color="auto" w:fill="FFFFFF"/>
        <w:spacing w:after="0" w:line="276" w:lineRule="auto"/>
        <w:rPr>
          <w:rFonts w:ascii="Times New Roman" w:eastAsia="Times New Roman" w:hAnsi="Times New Roman" w:cs="Times New Roman"/>
          <w:sz w:val="24"/>
          <w:szCs w:val="24"/>
          <w:lang w:eastAsia="tr-TR"/>
        </w:rPr>
      </w:pPr>
      <w:r w:rsidRPr="003D5488">
        <w:rPr>
          <w:rFonts w:ascii="Times New Roman" w:eastAsia="Times New Roman" w:hAnsi="Times New Roman" w:cs="Times New Roman"/>
          <w:b/>
          <w:bCs/>
          <w:sz w:val="24"/>
          <w:szCs w:val="24"/>
          <w:lang w:eastAsia="tr-TR"/>
        </w:rPr>
        <w:lastRenderedPageBreak/>
        <w:t>Selahattin Demirtaş v. Türkiye (No. 2) davasında,</w:t>
      </w:r>
    </w:p>
    <w:p w:rsidR="00812749" w:rsidRPr="003D5488" w:rsidRDefault="00812749" w:rsidP="00812749">
      <w:pPr>
        <w:shd w:val="clear" w:color="auto" w:fill="FFFFFF"/>
        <w:spacing w:after="0" w:line="276" w:lineRule="auto"/>
        <w:ind w:left="360"/>
        <w:rPr>
          <w:rFonts w:ascii="Times New Roman" w:eastAsia="Times New Roman" w:hAnsi="Times New Roman" w:cs="Times New Roman"/>
          <w:sz w:val="24"/>
          <w:szCs w:val="24"/>
          <w:lang w:eastAsia="tr-TR"/>
        </w:rPr>
      </w:pPr>
      <w:r w:rsidRPr="003D5488">
        <w:rPr>
          <w:rFonts w:ascii="Times New Roman" w:eastAsia="Times New Roman" w:hAnsi="Times New Roman" w:cs="Times New Roman"/>
          <w:i/>
          <w:iCs/>
          <w:sz w:val="24"/>
          <w:szCs w:val="24"/>
          <w:lang w:eastAsia="tr-TR"/>
        </w:rPr>
        <w:t>Başkan</w:t>
      </w:r>
      <w:r w:rsidRPr="003D5488">
        <w:rPr>
          <w:rFonts w:ascii="Times New Roman" w:eastAsia="Times New Roman" w:hAnsi="Times New Roman" w:cs="Times New Roman"/>
          <w:b/>
          <w:sz w:val="24"/>
          <w:szCs w:val="24"/>
          <w:lang w:eastAsia="tr-TR"/>
        </w:rPr>
        <w:br/>
      </w:r>
      <w:proofErr w:type="spellStart"/>
      <w:r w:rsidRPr="003D5488">
        <w:rPr>
          <w:rFonts w:ascii="Times New Roman" w:eastAsia="Times New Roman" w:hAnsi="Times New Roman" w:cs="Times New Roman"/>
          <w:sz w:val="24"/>
          <w:szCs w:val="24"/>
          <w:lang w:eastAsia="tr-TR"/>
        </w:rPr>
        <w:t>Ksenija</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Turković</w:t>
      </w:r>
      <w:proofErr w:type="spellEnd"/>
      <w:r w:rsidRPr="003D5488">
        <w:rPr>
          <w:rFonts w:ascii="Times New Roman" w:eastAsia="Times New Roman" w:hAnsi="Times New Roman" w:cs="Times New Roman"/>
          <w:sz w:val="24"/>
          <w:szCs w:val="24"/>
          <w:lang w:eastAsia="tr-TR"/>
        </w:rPr>
        <w:br/>
      </w:r>
      <w:r w:rsidRPr="003D5488">
        <w:rPr>
          <w:rFonts w:ascii="Times New Roman" w:eastAsia="Times New Roman" w:hAnsi="Times New Roman" w:cs="Times New Roman"/>
          <w:i/>
          <w:iCs/>
          <w:sz w:val="24"/>
          <w:szCs w:val="24"/>
          <w:lang w:eastAsia="tr-TR"/>
        </w:rPr>
        <w:t>Hâkimler</w:t>
      </w:r>
      <w:r w:rsidRPr="003D5488">
        <w:rPr>
          <w:rFonts w:ascii="Times New Roman" w:eastAsia="Times New Roman" w:hAnsi="Times New Roman" w:cs="Times New Roman"/>
          <w:b/>
          <w:sz w:val="24"/>
          <w:szCs w:val="24"/>
          <w:lang w:eastAsia="tr-TR"/>
        </w:rPr>
        <w:br/>
      </w:r>
      <w:proofErr w:type="spellStart"/>
      <w:r w:rsidRPr="003D5488">
        <w:rPr>
          <w:rFonts w:ascii="Times New Roman" w:eastAsia="Times New Roman" w:hAnsi="Times New Roman" w:cs="Times New Roman"/>
          <w:sz w:val="24"/>
          <w:szCs w:val="24"/>
          <w:lang w:eastAsia="tr-TR"/>
        </w:rPr>
        <w:t>Linos-Alexandre</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Sicilianos</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Yonko</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Grozev</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t xml:space="preserve">Vincent A. De </w:t>
      </w:r>
      <w:proofErr w:type="spellStart"/>
      <w:r w:rsidRPr="003D5488">
        <w:rPr>
          <w:rFonts w:ascii="Times New Roman" w:eastAsia="Times New Roman" w:hAnsi="Times New Roman" w:cs="Times New Roman"/>
          <w:sz w:val="24"/>
          <w:szCs w:val="24"/>
          <w:lang w:eastAsia="tr-TR"/>
        </w:rPr>
        <w:t>Gaetano</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t>Helen Keller,</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Aleš</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Pejchal</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Krzysztof</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Wojtyczek</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Mārtiņš</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Mits</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Gabriele</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Kucsko-Stadlmayer</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Alena</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Poláčková</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Pauliine</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Koskelo</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t xml:space="preserve">Tim </w:t>
      </w:r>
      <w:proofErr w:type="spellStart"/>
      <w:r w:rsidRPr="003D5488">
        <w:rPr>
          <w:rFonts w:ascii="Times New Roman" w:eastAsia="Times New Roman" w:hAnsi="Times New Roman" w:cs="Times New Roman"/>
          <w:sz w:val="24"/>
          <w:szCs w:val="24"/>
          <w:lang w:eastAsia="tr-TR"/>
        </w:rPr>
        <w:t>Eicke</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Péter</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Paczolay</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Lado</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Chanturia</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r>
      <w:proofErr w:type="spellStart"/>
      <w:r w:rsidRPr="003D5488">
        <w:rPr>
          <w:rFonts w:ascii="Times New Roman" w:eastAsia="Times New Roman" w:hAnsi="Times New Roman" w:cs="Times New Roman"/>
          <w:sz w:val="24"/>
          <w:szCs w:val="24"/>
          <w:lang w:eastAsia="tr-TR"/>
        </w:rPr>
        <w:t>Gilberto</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Felici</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t xml:space="preserve">Erik </w:t>
      </w:r>
      <w:proofErr w:type="spellStart"/>
      <w:r w:rsidRPr="003D5488">
        <w:rPr>
          <w:rFonts w:ascii="Times New Roman" w:eastAsia="Times New Roman" w:hAnsi="Times New Roman" w:cs="Times New Roman"/>
          <w:sz w:val="24"/>
          <w:szCs w:val="24"/>
          <w:lang w:eastAsia="tr-TR"/>
        </w:rPr>
        <w:t>Wennerström</w:t>
      </w:r>
      <w:proofErr w:type="spellEnd"/>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br/>
        <w:t>Saadet Yüksel,</w:t>
      </w:r>
    </w:p>
    <w:p w:rsidR="00812749" w:rsidRPr="003D5488" w:rsidRDefault="00812749" w:rsidP="00812749">
      <w:pPr>
        <w:shd w:val="clear" w:color="auto" w:fill="FFFFFF"/>
        <w:spacing w:after="0" w:line="276" w:lineRule="auto"/>
        <w:jc w:val="both"/>
        <w:rPr>
          <w:rFonts w:ascii="Times New Roman" w:eastAsia="Times New Roman" w:hAnsi="Times New Roman" w:cs="Times New Roman"/>
          <w:sz w:val="24"/>
          <w:szCs w:val="24"/>
          <w:lang w:eastAsia="tr-TR"/>
        </w:rPr>
      </w:pPr>
      <w:proofErr w:type="gramStart"/>
      <w:r w:rsidRPr="003D5488">
        <w:rPr>
          <w:rFonts w:ascii="Times New Roman" w:eastAsia="Times New Roman" w:hAnsi="Times New Roman" w:cs="Times New Roman"/>
          <w:i/>
          <w:iCs/>
          <w:sz w:val="24"/>
          <w:szCs w:val="24"/>
          <w:lang w:eastAsia="tr-TR"/>
        </w:rPr>
        <w:t>ve</w:t>
      </w:r>
      <w:proofErr w:type="gramEnd"/>
      <w:r w:rsidRPr="003D5488">
        <w:rPr>
          <w:rFonts w:ascii="Times New Roman" w:eastAsia="Times New Roman" w:hAnsi="Times New Roman" w:cs="Times New Roman"/>
          <w:i/>
          <w:iCs/>
          <w:sz w:val="24"/>
          <w:szCs w:val="24"/>
          <w:lang w:eastAsia="tr-TR"/>
        </w:rPr>
        <w:t xml:space="preserve"> Büyük Daire Yazı İşleri Müdürü </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Johan</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Callewaert’ın</w:t>
      </w:r>
      <w:proofErr w:type="spellEnd"/>
      <w:r w:rsidRPr="003D5488">
        <w:rPr>
          <w:rFonts w:ascii="Times New Roman" w:eastAsia="Times New Roman" w:hAnsi="Times New Roman" w:cs="Times New Roman"/>
          <w:sz w:val="24"/>
          <w:szCs w:val="24"/>
          <w:lang w:eastAsia="tr-TR"/>
        </w:rPr>
        <w:t xml:space="preserve"> katılımıyla Büyük Daire olarak toplanan İnsan Hakları Avrupa Mahkemesi,</w:t>
      </w:r>
    </w:p>
    <w:p w:rsidR="00812749" w:rsidRPr="003D5488" w:rsidRDefault="00812749" w:rsidP="00812749">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18 Eylül 2019 ve 12 Kasım 2020 tarihlerinde yapılan kapalı müzakere sonrasında,</w:t>
      </w:r>
    </w:p>
    <w:p w:rsidR="00812749" w:rsidRPr="003D5488" w:rsidRDefault="00812749" w:rsidP="00812749">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12 Kasım 2020 tarihinde kabul edilen aşağıdaki kararı vermiştir:</w:t>
      </w:r>
    </w:p>
    <w:p w:rsidR="00812749" w:rsidRPr="003D5488" w:rsidRDefault="00812749" w:rsidP="00812749">
      <w:pPr>
        <w:shd w:val="clear" w:color="auto" w:fill="FFFFFF"/>
        <w:spacing w:after="0" w:line="276" w:lineRule="auto"/>
        <w:jc w:val="both"/>
        <w:rPr>
          <w:rFonts w:ascii="Times New Roman" w:eastAsia="Times New Roman" w:hAnsi="Times New Roman" w:cs="Times New Roman"/>
          <w:sz w:val="24"/>
          <w:szCs w:val="24"/>
          <w:lang w:eastAsia="tr-TR"/>
        </w:rPr>
      </w:pPr>
    </w:p>
    <w:p w:rsidR="00812749" w:rsidRPr="003D5488" w:rsidRDefault="00812749" w:rsidP="00812749">
      <w:pPr>
        <w:shd w:val="clear" w:color="auto" w:fill="FFFFFF"/>
        <w:spacing w:before="100" w:after="240" w:line="276" w:lineRule="auto"/>
        <w:jc w:val="both"/>
        <w:rPr>
          <w:rFonts w:ascii="Times New Roman" w:eastAsia="Times New Roman" w:hAnsi="Times New Roman" w:cs="Times New Roman"/>
          <w:caps/>
          <w:sz w:val="24"/>
          <w:szCs w:val="24"/>
          <w:lang w:eastAsia="tr-TR"/>
        </w:rPr>
      </w:pPr>
      <w:bookmarkStart w:id="0" w:name="_Toc27932658"/>
      <w:r w:rsidRPr="003D5488">
        <w:rPr>
          <w:rFonts w:ascii="Times New Roman" w:eastAsia="Times New Roman" w:hAnsi="Times New Roman" w:cs="Times New Roman"/>
          <w:caps/>
          <w:sz w:val="24"/>
          <w:szCs w:val="24"/>
          <w:lang w:eastAsia="tr-TR"/>
        </w:rPr>
        <w:t>USUL</w:t>
      </w:r>
      <w:bookmarkEnd w:id="0"/>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br/>
        <w:t>1.  Davanın temelinde, Türkiye vatandaşı olan Selahattin Demirtaş tarafından İnsan Hakları ve Temel Özgürlüklerin Korunmasına ilişkin Sözleşme’nin (“Sözleşme”) 34. maddesine uygun olarak, 20 Şubat 2017 tarihinde, Türkiye Cumhuriyeti Devleti aleyhine Mahkeme’ye yapılmış olan başvuru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w:t>
      </w:r>
      <w:hyperlink r:id="rId13" w:anchor="{%22appno%22:[%2214305/17%22]}" w:tgtFrame="_blank" w:history="1">
        <w:r w:rsidRPr="003D5488">
          <w:rPr>
            <w:rFonts w:ascii="Times New Roman" w:eastAsia="Times New Roman" w:hAnsi="Times New Roman" w:cs="Times New Roman"/>
            <w:sz w:val="24"/>
            <w:szCs w:val="24"/>
            <w:u w:val="single"/>
            <w:lang w:eastAsia="tr-TR"/>
          </w:rPr>
          <w:t>14305/17</w:t>
        </w:r>
      </w:hyperlink>
      <w:r w:rsidRPr="003D5488">
        <w:rPr>
          <w:rFonts w:ascii="Times New Roman" w:eastAsia="Times New Roman" w:hAnsi="Times New Roman" w:cs="Times New Roman"/>
          <w:sz w:val="24"/>
          <w:szCs w:val="24"/>
          <w:lang w:eastAsia="tr-TR"/>
        </w:rPr>
        <w:t xml:space="preserve">) bulunmaktadır.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  Başvurucu, Diyarbakır, İstanbul ve Ankara’da avukatlık yapan M. Karaman, A. Demirtaş Gökalp, B. </w:t>
      </w:r>
      <w:proofErr w:type="spellStart"/>
      <w:r w:rsidRPr="003D5488">
        <w:rPr>
          <w:rFonts w:ascii="Times New Roman" w:eastAsia="Times New Roman" w:hAnsi="Times New Roman" w:cs="Times New Roman"/>
          <w:sz w:val="24"/>
          <w:szCs w:val="24"/>
          <w:lang w:eastAsia="tr-TR"/>
        </w:rPr>
        <w:t>Molu</w:t>
      </w:r>
      <w:proofErr w:type="spellEnd"/>
      <w:r w:rsidRPr="003D5488">
        <w:rPr>
          <w:rFonts w:ascii="Times New Roman" w:eastAsia="Times New Roman" w:hAnsi="Times New Roman" w:cs="Times New Roman"/>
          <w:sz w:val="24"/>
          <w:szCs w:val="24"/>
          <w:lang w:eastAsia="tr-TR"/>
        </w:rPr>
        <w:t>, R. Demir ve K. Altıparmak tarafından temsil edilmiştir. Türkiye Hükümeti (“Hükümet”) ise kendi görevlileri tarafından temsil edilmiştir.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3.  Başvurucu, tutukluluğunun Sözleşme’nin 5</w:t>
      </w:r>
      <w:proofErr w:type="gramStart"/>
      <w:r w:rsidRPr="003D5488">
        <w:rPr>
          <w:rFonts w:ascii="Times New Roman" w:eastAsia="Times New Roman" w:hAnsi="Times New Roman" w:cs="Times New Roman"/>
          <w:sz w:val="24"/>
          <w:szCs w:val="24"/>
          <w:lang w:eastAsia="tr-TR"/>
        </w:rPr>
        <w:t>.,</w:t>
      </w:r>
      <w:proofErr w:type="gramEnd"/>
      <w:r w:rsidRPr="003D5488">
        <w:rPr>
          <w:rFonts w:ascii="Times New Roman" w:eastAsia="Times New Roman" w:hAnsi="Times New Roman" w:cs="Times New Roman"/>
          <w:sz w:val="24"/>
          <w:szCs w:val="24"/>
          <w:lang w:eastAsia="tr-TR"/>
        </w:rPr>
        <w:t xml:space="preserve"> 10., 18. maddelerini ve </w:t>
      </w:r>
      <w:proofErr w:type="spellStart"/>
      <w:r w:rsidRPr="003D5488">
        <w:rPr>
          <w:rFonts w:ascii="Times New Roman" w:eastAsia="Times New Roman" w:hAnsi="Times New Roman" w:cs="Times New Roman"/>
          <w:sz w:val="24"/>
          <w:szCs w:val="24"/>
          <w:lang w:eastAsia="tr-TR"/>
        </w:rPr>
        <w:t>Sözleşme’ye</w:t>
      </w:r>
      <w:proofErr w:type="spellEnd"/>
      <w:r w:rsidRPr="003D5488">
        <w:rPr>
          <w:rFonts w:ascii="Times New Roman" w:eastAsia="Times New Roman" w:hAnsi="Times New Roman" w:cs="Times New Roman"/>
          <w:sz w:val="24"/>
          <w:szCs w:val="24"/>
          <w:lang w:eastAsia="tr-TR"/>
        </w:rPr>
        <w:t xml:space="preserve"> Ek 1 Numaralı Protokol’ün 3. maddesini ihlal ettiğini iddia 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 Başvuru, 29 Haziran 2017 tarihinde Hükümet’e bildirilmiştir.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5.  Başkan Robert </w:t>
      </w:r>
      <w:proofErr w:type="spellStart"/>
      <w:r w:rsidRPr="003D5488">
        <w:rPr>
          <w:rFonts w:ascii="Times New Roman" w:eastAsia="Times New Roman" w:hAnsi="Times New Roman" w:cs="Times New Roman"/>
          <w:sz w:val="24"/>
          <w:szCs w:val="24"/>
          <w:lang w:eastAsia="tr-TR"/>
        </w:rPr>
        <w:t>Spano</w:t>
      </w:r>
      <w:proofErr w:type="spellEnd"/>
      <w:r w:rsidRPr="003D5488">
        <w:rPr>
          <w:rFonts w:ascii="Times New Roman" w:eastAsia="Times New Roman" w:hAnsi="Times New Roman" w:cs="Times New Roman"/>
          <w:sz w:val="24"/>
          <w:szCs w:val="24"/>
          <w:lang w:eastAsia="tr-TR"/>
        </w:rPr>
        <w:t>,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ler </w:t>
      </w:r>
      <w:proofErr w:type="spellStart"/>
      <w:r w:rsidRPr="003D5488">
        <w:rPr>
          <w:rFonts w:ascii="Times New Roman" w:eastAsia="Times New Roman" w:hAnsi="Times New Roman" w:cs="Times New Roman"/>
          <w:sz w:val="24"/>
          <w:szCs w:val="24"/>
          <w:lang w:eastAsia="tr-TR"/>
        </w:rPr>
        <w:t>Ledi</w:t>
      </w:r>
      <w:proofErr w:type="spellEnd"/>
      <w:r w:rsidRPr="003D5488">
        <w:rPr>
          <w:rFonts w:ascii="Times New Roman" w:eastAsia="Times New Roman" w:hAnsi="Times New Roman" w:cs="Times New Roman"/>
          <w:sz w:val="24"/>
          <w:szCs w:val="24"/>
          <w:lang w:eastAsia="tr-TR"/>
        </w:rPr>
        <w:t> </w:t>
      </w:r>
      <w:proofErr w:type="spellStart"/>
      <w:r w:rsidRPr="003D5488">
        <w:rPr>
          <w:rFonts w:ascii="Times New Roman" w:eastAsia="Times New Roman" w:hAnsi="Times New Roman" w:cs="Times New Roman"/>
          <w:sz w:val="24"/>
          <w:szCs w:val="24"/>
          <w:lang w:eastAsia="tr-TR"/>
        </w:rPr>
        <w:t>Bianku</w:t>
      </w:r>
      <w:proofErr w:type="spellEnd"/>
      <w:r w:rsidRPr="003D5488">
        <w:rPr>
          <w:rFonts w:ascii="Times New Roman" w:eastAsia="Times New Roman" w:hAnsi="Times New Roman" w:cs="Times New Roman"/>
          <w:sz w:val="24"/>
          <w:szCs w:val="24"/>
          <w:lang w:eastAsia="tr-TR"/>
        </w:rPr>
        <w:t xml:space="preserve">, Işıl Karakaş, Paul </w:t>
      </w:r>
      <w:proofErr w:type="spellStart"/>
      <w:r w:rsidRPr="003D5488">
        <w:rPr>
          <w:rFonts w:ascii="Times New Roman" w:eastAsia="Times New Roman" w:hAnsi="Times New Roman" w:cs="Times New Roman"/>
          <w:sz w:val="24"/>
          <w:szCs w:val="24"/>
          <w:lang w:eastAsia="tr-TR"/>
        </w:rPr>
        <w:t>Lemmens</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Valeriu</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Griţco</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Jon</w:t>
      </w:r>
      <w:proofErr w:type="spellEnd"/>
      <w:r w:rsidRPr="003D5488">
        <w:rPr>
          <w:rFonts w:ascii="Times New Roman" w:eastAsia="Times New Roman" w:hAnsi="Times New Roman" w:cs="Times New Roman"/>
          <w:sz w:val="24"/>
          <w:szCs w:val="24"/>
          <w:lang w:eastAsia="tr-TR"/>
        </w:rPr>
        <w:t> </w:t>
      </w:r>
      <w:proofErr w:type="spellStart"/>
      <w:r w:rsidRPr="003D5488">
        <w:rPr>
          <w:rFonts w:ascii="Times New Roman" w:eastAsia="Times New Roman" w:hAnsi="Times New Roman" w:cs="Times New Roman"/>
          <w:sz w:val="24"/>
          <w:szCs w:val="24"/>
          <w:lang w:eastAsia="tr-TR"/>
        </w:rPr>
        <w:t>Fridrik</w:t>
      </w:r>
      <w:proofErr w:type="spellEnd"/>
      <w:r w:rsidRPr="003D5488">
        <w:rPr>
          <w:rFonts w:ascii="Times New Roman" w:eastAsia="Times New Roman" w:hAnsi="Times New Roman" w:cs="Times New Roman"/>
          <w:sz w:val="24"/>
          <w:szCs w:val="24"/>
          <w:lang w:eastAsia="tr-TR"/>
        </w:rPr>
        <w:t> </w:t>
      </w:r>
      <w:proofErr w:type="spellStart"/>
      <w:r w:rsidRPr="003D5488">
        <w:rPr>
          <w:rFonts w:ascii="Times New Roman" w:eastAsia="Times New Roman" w:hAnsi="Times New Roman" w:cs="Times New Roman"/>
          <w:sz w:val="24"/>
          <w:szCs w:val="24"/>
          <w:lang w:eastAsia="tr-TR"/>
        </w:rPr>
        <w:t>Kjølbro</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Ivana</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Jelić</w:t>
      </w:r>
      <w:proofErr w:type="spellEnd"/>
      <w:r w:rsidRPr="003D5488">
        <w:rPr>
          <w:rFonts w:ascii="Times New Roman" w:eastAsia="Times New Roman" w:hAnsi="Times New Roman" w:cs="Times New Roman"/>
          <w:sz w:val="24"/>
          <w:szCs w:val="24"/>
          <w:lang w:eastAsia="tr-TR"/>
        </w:rPr>
        <w:t xml:space="preserve"> ve Daire Yazı İşleri Müdürü </w:t>
      </w:r>
      <w:proofErr w:type="spellStart"/>
      <w:r w:rsidRPr="003D5488">
        <w:rPr>
          <w:rFonts w:ascii="Times New Roman" w:eastAsia="Times New Roman" w:hAnsi="Times New Roman" w:cs="Times New Roman"/>
          <w:sz w:val="24"/>
          <w:szCs w:val="24"/>
          <w:lang w:eastAsia="tr-TR"/>
        </w:rPr>
        <w:t>Stanley</w:t>
      </w:r>
      <w:proofErr w:type="spellEnd"/>
      <w:r w:rsidRPr="003D5488">
        <w:rPr>
          <w:rFonts w:ascii="Times New Roman" w:eastAsia="Times New Roman" w:hAnsi="Times New Roman" w:cs="Times New Roman"/>
          <w:sz w:val="24"/>
          <w:szCs w:val="24"/>
          <w:lang w:eastAsia="tr-TR"/>
        </w:rPr>
        <w:t> </w:t>
      </w:r>
      <w:proofErr w:type="spellStart"/>
      <w:r w:rsidRPr="003D5488">
        <w:rPr>
          <w:rFonts w:ascii="Times New Roman" w:eastAsia="Times New Roman" w:hAnsi="Times New Roman" w:cs="Times New Roman"/>
          <w:sz w:val="24"/>
          <w:szCs w:val="24"/>
          <w:lang w:eastAsia="tr-TR"/>
        </w:rPr>
        <w:t>Naismith’ten</w:t>
      </w:r>
      <w:proofErr w:type="spellEnd"/>
      <w:r w:rsidRPr="003D5488">
        <w:rPr>
          <w:rFonts w:ascii="Times New Roman" w:eastAsia="Times New Roman" w:hAnsi="Times New Roman" w:cs="Times New Roman"/>
          <w:sz w:val="24"/>
          <w:szCs w:val="24"/>
          <w:lang w:eastAsia="tr-TR"/>
        </w:rPr>
        <w:t xml:space="preserve"> oluşan Mahkeme İkinci Dairesi, 20 Kasım 2018 tarihinde kararını açıklamıştır. Daire, oy birliği </w:t>
      </w:r>
      <w:proofErr w:type="gramStart"/>
      <w:r w:rsidRPr="003D5488">
        <w:rPr>
          <w:rFonts w:ascii="Times New Roman" w:eastAsia="Times New Roman" w:hAnsi="Times New Roman" w:cs="Times New Roman"/>
          <w:sz w:val="24"/>
          <w:szCs w:val="24"/>
          <w:lang w:eastAsia="tr-TR"/>
        </w:rPr>
        <w:t>ile,</w:t>
      </w:r>
      <w:proofErr w:type="gramEnd"/>
      <w:r w:rsidRPr="003D5488">
        <w:rPr>
          <w:rFonts w:ascii="Times New Roman" w:eastAsia="Times New Roman" w:hAnsi="Times New Roman" w:cs="Times New Roman"/>
          <w:sz w:val="24"/>
          <w:szCs w:val="24"/>
          <w:lang w:eastAsia="tr-TR"/>
        </w:rPr>
        <w:t xml:space="preserve"> başvurucunun 5. maddenin 1. fıkrasının, 5. maddenin 3. ve 4. fıkrasının ve 18. maddenin ve </w:t>
      </w:r>
      <w:proofErr w:type="spellStart"/>
      <w:r w:rsidRPr="003D5488">
        <w:rPr>
          <w:rFonts w:ascii="Times New Roman" w:eastAsia="Times New Roman" w:hAnsi="Times New Roman" w:cs="Times New Roman"/>
          <w:sz w:val="24"/>
          <w:szCs w:val="24"/>
          <w:lang w:eastAsia="tr-TR"/>
        </w:rPr>
        <w:t>Sözleşme’ye</w:t>
      </w:r>
      <w:proofErr w:type="spellEnd"/>
      <w:r w:rsidRPr="003D5488">
        <w:rPr>
          <w:rFonts w:ascii="Times New Roman" w:eastAsia="Times New Roman" w:hAnsi="Times New Roman" w:cs="Times New Roman"/>
          <w:sz w:val="24"/>
          <w:szCs w:val="24"/>
          <w:lang w:eastAsia="tr-TR"/>
        </w:rPr>
        <w:t xml:space="preserve"> Ek 1 Numaralı Protokol’ün 3. maddesinin ihlal edildiği iddiasını kabul edilebilir bulmuştur. Daire, oy birliği </w:t>
      </w:r>
      <w:proofErr w:type="gramStart"/>
      <w:r w:rsidRPr="003D5488">
        <w:rPr>
          <w:rFonts w:ascii="Times New Roman" w:eastAsia="Times New Roman" w:hAnsi="Times New Roman" w:cs="Times New Roman"/>
          <w:sz w:val="24"/>
          <w:szCs w:val="24"/>
          <w:lang w:eastAsia="tr-TR"/>
        </w:rPr>
        <w:t>ile,</w:t>
      </w:r>
      <w:proofErr w:type="gramEnd"/>
      <w:r w:rsidRPr="003D5488">
        <w:rPr>
          <w:rFonts w:ascii="Times New Roman" w:eastAsia="Times New Roman" w:hAnsi="Times New Roman" w:cs="Times New Roman"/>
          <w:sz w:val="24"/>
          <w:szCs w:val="24"/>
          <w:lang w:eastAsia="tr-TR"/>
        </w:rPr>
        <w:t xml:space="preserve"> 5. maddenin 1. ve 4. fıkrasının ihlal edilmediğine, 5. maddenin 3. fıkrasının ve Ek 1 Numaralı Protokol’ün 3. maddesinin ihlal edildiğine karar vermiştir. Daire, altıya karşı bir oyla Sözleşme’nin 18. maddesinin 5. maddenin 3. fıkrasıyla bağlantılı olarak ihlal edildiğine karar vermiştir. Daire ayrıca, Sözleşme’nin 10. maddesinin ihlal edildiği iddiasını ayrıca incelemeye gerek görmemiştir.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  19 Şubat 2019 tarihinde Hükümet ve başvurucu, Sözleşme’nin 43. maddesi uyarınca davanın Büyük Daire’ye taşınmasını talep etmiştir. Büyük Daire paneli, bu talebi 18 Mart 2019 tarihinde kabul 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8.  Hem başvuru hem Hükümet, davanın kabul edilebilirliğine ve esasına ilişkin görüşlerini sunmuştur.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9.  Avrupa Konseyi İnsan Hakları Komiseri (“İnsan Hakları Komiseri”) yargılamalara </w:t>
      </w:r>
      <w:proofErr w:type="spellStart"/>
      <w:r w:rsidRPr="003D5488">
        <w:rPr>
          <w:rFonts w:ascii="Times New Roman" w:eastAsia="Times New Roman" w:hAnsi="Times New Roman" w:cs="Times New Roman"/>
          <w:sz w:val="24"/>
          <w:szCs w:val="24"/>
          <w:lang w:eastAsia="tr-TR"/>
        </w:rPr>
        <w:t>mü</w:t>
      </w:r>
      <w:r w:rsidR="00DA1D16">
        <w:rPr>
          <w:rFonts w:ascii="Times New Roman" w:eastAsia="Times New Roman" w:hAnsi="Times New Roman" w:cs="Times New Roman"/>
          <w:sz w:val="24"/>
          <w:szCs w:val="24"/>
          <w:lang w:eastAsia="tr-TR"/>
        </w:rPr>
        <w:t>dâhil</w:t>
      </w:r>
      <w:proofErr w:type="spellEnd"/>
      <w:r w:rsidRPr="003D5488">
        <w:rPr>
          <w:rFonts w:ascii="Times New Roman" w:eastAsia="Times New Roman" w:hAnsi="Times New Roman" w:cs="Times New Roman"/>
          <w:sz w:val="24"/>
          <w:szCs w:val="24"/>
          <w:lang w:eastAsia="tr-TR"/>
        </w:rPr>
        <w:t xml:space="preserve"> olma hakkını kullanarak dava hakkındaki yorumlarını yazılı olarak ibraz etmiştir (Sözleşme’nin 36. maddesinin 3. fıkrası ve Mahkeme İç Tüzüğü’nün 44. maddesinin 2. fıkrası).</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  Daire başkanı, Uluslararası Parlamenterler Birliği (IPU) ve </w:t>
      </w:r>
      <w:proofErr w:type="spellStart"/>
      <w:r w:rsidRPr="003D5488">
        <w:rPr>
          <w:rFonts w:ascii="Times New Roman" w:eastAsia="Times New Roman" w:hAnsi="Times New Roman" w:cs="Times New Roman"/>
          <w:sz w:val="24"/>
          <w:szCs w:val="24"/>
          <w:lang w:eastAsia="tr-TR"/>
        </w:rPr>
        <w:t>Article</w:t>
      </w:r>
      <w:proofErr w:type="spellEnd"/>
      <w:r w:rsidRPr="003D5488">
        <w:rPr>
          <w:rFonts w:ascii="Times New Roman" w:eastAsia="Times New Roman" w:hAnsi="Times New Roman" w:cs="Times New Roman"/>
          <w:sz w:val="24"/>
          <w:szCs w:val="24"/>
          <w:lang w:eastAsia="tr-TR"/>
        </w:rPr>
        <w:t xml:space="preserve"> 19 ile İnsan Hakları İzleme Örgütü isimli iki sivil toplum kuruluşunun birlikte (“</w:t>
      </w:r>
      <w:proofErr w:type="spellStart"/>
      <w:r w:rsidRPr="003D5488">
        <w:rPr>
          <w:rFonts w:ascii="Times New Roman" w:eastAsia="Times New Roman" w:hAnsi="Times New Roman" w:cs="Times New Roman"/>
          <w:sz w:val="24"/>
          <w:szCs w:val="24"/>
          <w:lang w:eastAsia="tr-TR"/>
        </w:rPr>
        <w:t>mü</w:t>
      </w:r>
      <w:r w:rsidR="00DA1D16">
        <w:rPr>
          <w:rFonts w:ascii="Times New Roman" w:eastAsia="Times New Roman" w:hAnsi="Times New Roman" w:cs="Times New Roman"/>
          <w:sz w:val="24"/>
          <w:szCs w:val="24"/>
          <w:lang w:eastAsia="tr-TR"/>
        </w:rPr>
        <w:t>dâhil</w:t>
      </w:r>
      <w:proofErr w:type="spellEnd"/>
      <w:r w:rsidRPr="003D5488">
        <w:rPr>
          <w:rFonts w:ascii="Times New Roman" w:eastAsia="Times New Roman" w:hAnsi="Times New Roman" w:cs="Times New Roman"/>
          <w:sz w:val="24"/>
          <w:szCs w:val="24"/>
          <w:lang w:eastAsia="tr-TR"/>
        </w:rPr>
        <w:t xml:space="preserve"> sivil toplum kuruluşları”) Sözleşme’nin 36. </w:t>
      </w:r>
      <w:proofErr w:type="spellStart"/>
      <w:r w:rsidRPr="003D5488">
        <w:rPr>
          <w:rFonts w:ascii="Times New Roman" w:eastAsia="Times New Roman" w:hAnsi="Times New Roman" w:cs="Times New Roman"/>
          <w:sz w:val="24"/>
          <w:szCs w:val="24"/>
          <w:lang w:eastAsia="tr-TR"/>
        </w:rPr>
        <w:t>maddesisinin</w:t>
      </w:r>
      <w:proofErr w:type="spellEnd"/>
      <w:r w:rsidRPr="003D5488">
        <w:rPr>
          <w:rFonts w:ascii="Times New Roman" w:eastAsia="Times New Roman" w:hAnsi="Times New Roman" w:cs="Times New Roman"/>
          <w:sz w:val="24"/>
          <w:szCs w:val="24"/>
          <w:lang w:eastAsia="tr-TR"/>
        </w:rPr>
        <w:t xml:space="preserve"> 2. fıkrası ve Mahkeme İç Tüzüğü’nün 44. maddesinin 3. fıkrası kapsamında </w:t>
      </w:r>
      <w:proofErr w:type="spellStart"/>
      <w:r w:rsidRPr="003D5488">
        <w:rPr>
          <w:rFonts w:ascii="Times New Roman" w:eastAsia="Times New Roman" w:hAnsi="Times New Roman" w:cs="Times New Roman"/>
          <w:sz w:val="24"/>
          <w:szCs w:val="24"/>
          <w:lang w:eastAsia="tr-TR"/>
        </w:rPr>
        <w:t>müdâhil</w:t>
      </w:r>
      <w:proofErr w:type="spellEnd"/>
      <w:r w:rsidRPr="003D5488">
        <w:rPr>
          <w:rFonts w:ascii="Times New Roman" w:eastAsia="Times New Roman" w:hAnsi="Times New Roman" w:cs="Times New Roman"/>
          <w:sz w:val="24"/>
          <w:szCs w:val="24"/>
          <w:lang w:eastAsia="tr-TR"/>
        </w:rPr>
        <w:t xml:space="preserve"> olması için izin vermiştir.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11.  Hükümet ve başvurucu, </w:t>
      </w:r>
      <w:proofErr w:type="spellStart"/>
      <w:r w:rsidRPr="003D5488">
        <w:rPr>
          <w:rFonts w:ascii="Times New Roman" w:eastAsia="Times New Roman" w:hAnsi="Times New Roman" w:cs="Times New Roman"/>
          <w:sz w:val="24"/>
          <w:szCs w:val="24"/>
          <w:lang w:eastAsia="tr-TR"/>
        </w:rPr>
        <w:t>mü</w:t>
      </w:r>
      <w:r w:rsidR="00DA1D16">
        <w:rPr>
          <w:rFonts w:ascii="Times New Roman" w:eastAsia="Times New Roman" w:hAnsi="Times New Roman" w:cs="Times New Roman"/>
          <w:sz w:val="24"/>
          <w:szCs w:val="24"/>
          <w:lang w:eastAsia="tr-TR"/>
        </w:rPr>
        <w:t>dâhil</w:t>
      </w:r>
      <w:proofErr w:type="spellEnd"/>
      <w:r w:rsidRPr="003D5488">
        <w:rPr>
          <w:rFonts w:ascii="Times New Roman" w:eastAsia="Times New Roman" w:hAnsi="Times New Roman" w:cs="Times New Roman"/>
          <w:sz w:val="24"/>
          <w:szCs w:val="24"/>
          <w:lang w:eastAsia="tr-TR"/>
        </w:rPr>
        <w:t xml:space="preserve"> tarafların görüşüne karşı cevap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12. 18 Eylül 2019 tarihinde, </w:t>
      </w:r>
      <w:proofErr w:type="spellStart"/>
      <w:r w:rsidRPr="003D5488">
        <w:rPr>
          <w:rFonts w:ascii="Times New Roman" w:eastAsia="Times New Roman" w:hAnsi="Times New Roman" w:cs="Times New Roman"/>
          <w:sz w:val="24"/>
          <w:szCs w:val="24"/>
          <w:lang w:eastAsia="tr-TR"/>
        </w:rPr>
        <w:t>Strazburg’ta</w:t>
      </w:r>
      <w:proofErr w:type="spellEnd"/>
      <w:r w:rsidRPr="003D5488">
        <w:rPr>
          <w:rFonts w:ascii="Times New Roman" w:eastAsia="Times New Roman" w:hAnsi="Times New Roman" w:cs="Times New Roman"/>
          <w:sz w:val="24"/>
          <w:szCs w:val="24"/>
          <w:lang w:eastAsia="tr-TR"/>
        </w:rPr>
        <w:t xml:space="preserve">, İnsan Hakları Binası’nda bir duruşma yapılmıştır. </w:t>
      </w:r>
    </w:p>
    <w:p w:rsidR="00812749" w:rsidRPr="003D5488" w:rsidRDefault="00812749" w:rsidP="00393B35">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13. 19 Kasım 2019 – 14 Temmuz 2020 tarihleri arasında değişik tarihlerde Hükümet ve başvuru</w:t>
      </w:r>
      <w:r w:rsidR="00393B35" w:rsidRPr="003D5488">
        <w:rPr>
          <w:rFonts w:ascii="Times New Roman" w:eastAsia="Times New Roman" w:hAnsi="Times New Roman" w:cs="Times New Roman"/>
          <w:sz w:val="24"/>
          <w:szCs w:val="24"/>
          <w:lang w:eastAsia="tr-TR"/>
        </w:rPr>
        <w:t xml:space="preserve">cu, ek beyanlarda bulunmuştur. </w:t>
      </w:r>
    </w:p>
    <w:p w:rsidR="00393B35" w:rsidRPr="003D5488" w:rsidRDefault="00393B35" w:rsidP="00393B35">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812749" w:rsidRPr="003D5488" w:rsidRDefault="00812749" w:rsidP="00812749">
      <w:pPr>
        <w:shd w:val="clear" w:color="auto" w:fill="FFFFFF"/>
        <w:spacing w:before="100" w:after="24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caps/>
          <w:sz w:val="24"/>
          <w:szCs w:val="24"/>
          <w:lang w:eastAsia="tr-TR"/>
        </w:rPr>
        <w:lastRenderedPageBreak/>
        <w:t>OLGULAR</w:t>
      </w:r>
    </w:p>
    <w:p w:rsidR="00812749" w:rsidRPr="003D5488" w:rsidRDefault="00812749" w:rsidP="00393B35">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14.  Başvurucu, 1973 doğumludur. Başvurunun yapıldığı tarihte, Ed</w:t>
      </w:r>
      <w:r w:rsidR="00393B35" w:rsidRPr="003D5488">
        <w:rPr>
          <w:rFonts w:ascii="Times New Roman" w:eastAsia="Times New Roman" w:hAnsi="Times New Roman" w:cs="Times New Roman"/>
          <w:sz w:val="24"/>
          <w:szCs w:val="24"/>
          <w:lang w:eastAsia="tr-TR"/>
        </w:rPr>
        <w:t xml:space="preserve">irne’de tutuklu bulunmaktadır. </w:t>
      </w:r>
    </w:p>
    <w:p w:rsidR="00812749" w:rsidRPr="003D5488" w:rsidRDefault="00812749" w:rsidP="00393B35">
      <w:pPr>
        <w:pStyle w:val="Balk1"/>
        <w:rPr>
          <w:color w:val="auto"/>
        </w:rPr>
      </w:pPr>
      <w:r w:rsidRPr="003D5488">
        <w:rPr>
          <w:color w:val="auto"/>
        </w:rPr>
        <w:t xml:space="preserve">Başvurucunun siyasi kariyeri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proofErr w:type="gramStart"/>
      <w:r w:rsidRPr="003D5488">
        <w:rPr>
          <w:rFonts w:ascii="Times New Roman" w:eastAsia="Times New Roman" w:hAnsi="Times New Roman" w:cs="Times New Roman"/>
          <w:sz w:val="24"/>
          <w:szCs w:val="24"/>
          <w:lang w:eastAsia="tr-TR"/>
        </w:rPr>
        <w:t xml:space="preserve">15.  Söz konusu tarihte başvurucu, sol görüşlü Kürt yanlısı bir siyasi parti olan Halkların Demokratik Partisi’nin (HDP) eş genel başkanı idi. 22 Temmuz 2007’den bu yana, Türkiye Büyük Millet Meclisi (TBMM) üyesi idi. 1 Kasım 2015 tarihli genel seçimlerin ardından, </w:t>
      </w:r>
      <w:proofErr w:type="spellStart"/>
      <w:r w:rsidRPr="003D5488">
        <w:rPr>
          <w:rFonts w:ascii="Times New Roman" w:eastAsia="Times New Roman" w:hAnsi="Times New Roman" w:cs="Times New Roman"/>
          <w:sz w:val="24"/>
          <w:szCs w:val="24"/>
          <w:lang w:eastAsia="tr-TR"/>
        </w:rPr>
        <w:t>HDP’den</w:t>
      </w:r>
      <w:proofErr w:type="spellEnd"/>
      <w:r w:rsidRPr="003D5488">
        <w:rPr>
          <w:rFonts w:ascii="Times New Roman" w:eastAsia="Times New Roman" w:hAnsi="Times New Roman" w:cs="Times New Roman"/>
          <w:sz w:val="24"/>
          <w:szCs w:val="24"/>
          <w:lang w:eastAsia="tr-TR"/>
        </w:rPr>
        <w:t xml:space="preserve"> tekrar milletvekili seçilmiş ve 24 Haziran 2018 kadar milletvekili olarak görev yapmıştır. </w:t>
      </w:r>
      <w:proofErr w:type="gramEnd"/>
    </w:p>
    <w:p w:rsidR="00393B35" w:rsidRPr="003D5488" w:rsidRDefault="00812749" w:rsidP="00DA1D16">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16. 10 Ağustos 2014 tarihli cumhurbaşkanlığı seçimlerinde oyların %9.76’sını almıştır. Başvurucu ayrıca, oyların %8.32’sini aldığı 24 Haziran 2018 tarihli cumhurbaşkanlığı seçiminde de aday olmuştur.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812749" w:rsidRPr="003D5488" w:rsidRDefault="00812749" w:rsidP="00393B35">
      <w:pPr>
        <w:pStyle w:val="Balk1"/>
        <w:rPr>
          <w:color w:val="auto"/>
        </w:rPr>
      </w:pPr>
      <w:r w:rsidRPr="003D5488">
        <w:rPr>
          <w:color w:val="auto"/>
        </w:rPr>
        <w:t xml:space="preserve">6-8 ekim 2014 olayları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17. 2014 yılının Eylül ve Ekim ayında, silahlı terör örgütü IŞİD üyeleri, Türkiye’nin Suruç sınırından 15 kilometre uzakta bulunan Suriye’nin </w:t>
      </w:r>
      <w:proofErr w:type="spellStart"/>
      <w:r w:rsidRPr="003D5488">
        <w:rPr>
          <w:rFonts w:ascii="Times New Roman" w:eastAsia="Times New Roman" w:hAnsi="Times New Roman" w:cs="Times New Roman"/>
          <w:sz w:val="24"/>
          <w:szCs w:val="24"/>
          <w:lang w:eastAsia="tr-TR"/>
        </w:rPr>
        <w:t>Kobane</w:t>
      </w:r>
      <w:proofErr w:type="spellEnd"/>
      <w:r w:rsidRPr="003D5488">
        <w:rPr>
          <w:rFonts w:ascii="Times New Roman" w:eastAsia="Times New Roman" w:hAnsi="Times New Roman" w:cs="Times New Roman"/>
          <w:sz w:val="24"/>
          <w:szCs w:val="24"/>
          <w:lang w:eastAsia="tr-TR"/>
        </w:rPr>
        <w:t xml:space="preserve"> şehrine bir saldırı başlatmıştır. IŞİD ile Suriye’de kurulan ve PKK ile bağlantıları sebebiyle Türkiye tarafından terör örgütü olarak görülen YPG arasında silahlı çatışmalar yaşanmıştır.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 w:name="demonstrations"/>
      <w:r w:rsidRPr="003D5488">
        <w:rPr>
          <w:rFonts w:ascii="Times New Roman" w:eastAsia="Times New Roman" w:hAnsi="Times New Roman" w:cs="Times New Roman"/>
          <w:sz w:val="24"/>
          <w:szCs w:val="24"/>
          <w:lang w:eastAsia="tr-TR"/>
        </w:rPr>
        <w:t>18</w:t>
      </w:r>
      <w:bookmarkEnd w:id="1"/>
      <w:r w:rsidRPr="003D5488">
        <w:rPr>
          <w:rFonts w:ascii="Times New Roman" w:eastAsia="Times New Roman" w:hAnsi="Times New Roman" w:cs="Times New Roman"/>
          <w:sz w:val="24"/>
          <w:szCs w:val="24"/>
          <w:lang w:eastAsia="tr-TR"/>
        </w:rPr>
        <w:t xml:space="preserve">.  2 Ekim 2014’ten sonra, Türkiye’de çok sayıda eylem düzenlenmiş, yerel ve uluslararası bazı sivil toplum kuruluşları </w:t>
      </w:r>
      <w:proofErr w:type="spellStart"/>
      <w:r w:rsidRPr="003D5488">
        <w:rPr>
          <w:rFonts w:ascii="Times New Roman" w:eastAsia="Times New Roman" w:hAnsi="Times New Roman" w:cs="Times New Roman"/>
          <w:sz w:val="24"/>
          <w:szCs w:val="24"/>
          <w:lang w:eastAsia="tr-TR"/>
        </w:rPr>
        <w:t>Kobane’yle</w:t>
      </w:r>
      <w:proofErr w:type="spellEnd"/>
      <w:r w:rsidRPr="003D5488">
        <w:rPr>
          <w:rFonts w:ascii="Times New Roman" w:eastAsia="Times New Roman" w:hAnsi="Times New Roman" w:cs="Times New Roman"/>
          <w:sz w:val="24"/>
          <w:szCs w:val="24"/>
          <w:lang w:eastAsia="tr-TR"/>
        </w:rPr>
        <w:t xml:space="preserve"> dayanışmaya çağıran açıklamalar yayınlamıştır.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19.  5 Ekim 2014 tarihinde PKK liderlerinden biri tarafından </w:t>
      </w:r>
      <w:proofErr w:type="spellStart"/>
      <w:r w:rsidRPr="003D5488">
        <w:rPr>
          <w:rFonts w:ascii="Times New Roman" w:eastAsia="Times New Roman" w:hAnsi="Times New Roman" w:cs="Times New Roman"/>
          <w:sz w:val="24"/>
          <w:szCs w:val="24"/>
          <w:lang w:eastAsia="tr-TR"/>
        </w:rPr>
        <w:t>Twitter’da</w:t>
      </w:r>
      <w:proofErr w:type="spellEnd"/>
      <w:r w:rsidRPr="003D5488">
        <w:rPr>
          <w:rFonts w:ascii="Times New Roman" w:eastAsia="Times New Roman" w:hAnsi="Times New Roman" w:cs="Times New Roman"/>
          <w:sz w:val="24"/>
          <w:szCs w:val="24"/>
          <w:lang w:eastAsia="tr-TR"/>
        </w:rPr>
        <w:t xml:space="preserve"> bu paylaşım yapılmıştır:</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Gençleri kadınları 7’den 70’e herkesi </w:t>
      </w:r>
      <w:proofErr w:type="spellStart"/>
      <w:r w:rsidRPr="003D5488">
        <w:rPr>
          <w:rFonts w:ascii="Times New Roman" w:eastAsia="Times New Roman" w:hAnsi="Times New Roman" w:cs="Times New Roman"/>
          <w:i/>
          <w:iCs/>
          <w:szCs w:val="24"/>
          <w:lang w:eastAsia="tr-TR"/>
        </w:rPr>
        <w:t>Kobane’ye</w:t>
      </w:r>
      <w:proofErr w:type="spellEnd"/>
      <w:r w:rsidRPr="003D5488">
        <w:rPr>
          <w:rFonts w:ascii="Times New Roman" w:eastAsia="Times New Roman" w:hAnsi="Times New Roman" w:cs="Times New Roman"/>
          <w:i/>
          <w:iCs/>
          <w:szCs w:val="24"/>
          <w:lang w:eastAsia="tr-TR"/>
        </w:rPr>
        <w:t xml:space="preserve"> sahip çıkmaya onurumuzu namusumuzu korumaya </w:t>
      </w:r>
      <w:proofErr w:type="gramStart"/>
      <w:r w:rsidRPr="003D5488">
        <w:rPr>
          <w:rFonts w:ascii="Times New Roman" w:eastAsia="Times New Roman" w:hAnsi="Times New Roman" w:cs="Times New Roman"/>
          <w:i/>
          <w:iCs/>
          <w:szCs w:val="24"/>
          <w:lang w:eastAsia="tr-TR"/>
        </w:rPr>
        <w:t>metropolleri</w:t>
      </w:r>
      <w:proofErr w:type="gramEnd"/>
      <w:r w:rsidRPr="003D5488">
        <w:rPr>
          <w:rFonts w:ascii="Times New Roman" w:eastAsia="Times New Roman" w:hAnsi="Times New Roman" w:cs="Times New Roman"/>
          <w:i/>
          <w:iCs/>
          <w:szCs w:val="24"/>
          <w:lang w:eastAsia="tr-TR"/>
        </w:rPr>
        <w:t xml:space="preserve"> işgal etmeye çağırıyoruz.</w:t>
      </w:r>
      <w:r w:rsidR="00511D68"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2" w:name="hdpstweets"/>
      <w:r w:rsidRPr="003D5488">
        <w:rPr>
          <w:rFonts w:ascii="Times New Roman" w:eastAsia="Times New Roman" w:hAnsi="Times New Roman" w:cs="Times New Roman"/>
          <w:sz w:val="24"/>
          <w:szCs w:val="24"/>
          <w:lang w:eastAsia="tr-TR"/>
        </w:rPr>
        <w:t>20</w:t>
      </w:r>
      <w:bookmarkEnd w:id="2"/>
      <w:r w:rsidRPr="003D5488">
        <w:rPr>
          <w:rFonts w:ascii="Times New Roman" w:eastAsia="Times New Roman" w:hAnsi="Times New Roman" w:cs="Times New Roman"/>
          <w:sz w:val="24"/>
          <w:szCs w:val="24"/>
          <w:lang w:eastAsia="tr-TR"/>
        </w:rPr>
        <w:t xml:space="preserve">.  6 Ekim 2014 tarihinde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resmi </w:t>
      </w:r>
      <w:proofErr w:type="spellStart"/>
      <w:r w:rsidRPr="003D5488">
        <w:rPr>
          <w:rFonts w:ascii="Times New Roman" w:eastAsia="Times New Roman" w:hAnsi="Times New Roman" w:cs="Times New Roman"/>
          <w:sz w:val="24"/>
          <w:szCs w:val="24"/>
          <w:lang w:eastAsia="tr-TR"/>
        </w:rPr>
        <w:t>Twitter</w:t>
      </w:r>
      <w:proofErr w:type="spellEnd"/>
      <w:r w:rsidRPr="003D5488">
        <w:rPr>
          <w:rFonts w:ascii="Times New Roman" w:eastAsia="Times New Roman" w:hAnsi="Times New Roman" w:cs="Times New Roman"/>
          <w:sz w:val="24"/>
          <w:szCs w:val="24"/>
          <w:lang w:eastAsia="tr-TR"/>
        </w:rPr>
        <w:t xml:space="preserve"> hesabı olan @</w:t>
      </w:r>
      <w:proofErr w:type="spellStart"/>
      <w:r w:rsidRPr="003D5488">
        <w:rPr>
          <w:rFonts w:ascii="Times New Roman" w:eastAsia="Times New Roman" w:hAnsi="Times New Roman" w:cs="Times New Roman"/>
          <w:sz w:val="24"/>
          <w:szCs w:val="24"/>
          <w:lang w:eastAsia="tr-TR"/>
        </w:rPr>
        <w:t>HDPgenelmerkezi</w:t>
      </w:r>
      <w:proofErr w:type="spellEnd"/>
      <w:r w:rsidRPr="003D5488">
        <w:rPr>
          <w:rFonts w:ascii="Times New Roman" w:eastAsia="Times New Roman" w:hAnsi="Times New Roman" w:cs="Times New Roman"/>
          <w:sz w:val="24"/>
          <w:szCs w:val="24"/>
          <w:lang w:eastAsia="tr-TR"/>
        </w:rPr>
        <w:t xml:space="preserve"> hesabından aşağıdaki üç </w:t>
      </w:r>
      <w:proofErr w:type="spellStart"/>
      <w:r w:rsidRPr="003D5488">
        <w:rPr>
          <w:rFonts w:ascii="Times New Roman" w:eastAsia="Times New Roman" w:hAnsi="Times New Roman" w:cs="Times New Roman"/>
          <w:sz w:val="24"/>
          <w:szCs w:val="24"/>
          <w:lang w:eastAsia="tr-TR"/>
        </w:rPr>
        <w:t>tweet</w:t>
      </w:r>
      <w:proofErr w:type="spellEnd"/>
      <w:r w:rsidRPr="003D5488">
        <w:rPr>
          <w:rFonts w:ascii="Times New Roman" w:eastAsia="Times New Roman" w:hAnsi="Times New Roman" w:cs="Times New Roman"/>
          <w:sz w:val="24"/>
          <w:szCs w:val="24"/>
          <w:lang w:eastAsia="tr-TR"/>
        </w:rPr>
        <w:t xml:space="preserve"> atılmıştır: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 xml:space="preserve"> “</w:t>
      </w:r>
      <w:r w:rsidRPr="003D5488">
        <w:rPr>
          <w:rFonts w:ascii="Times New Roman" w:eastAsia="Times New Roman" w:hAnsi="Times New Roman" w:cs="Times New Roman"/>
          <w:i/>
          <w:iCs/>
          <w:szCs w:val="24"/>
          <w:lang w:eastAsia="tr-TR"/>
        </w:rPr>
        <w:t xml:space="preserve">Halklarımıza acil çağrı! Şuanda toplantı halinde olan HDP MYK’dan halklarımıza acil çağrı! </w:t>
      </w:r>
      <w:proofErr w:type="spellStart"/>
      <w:r w:rsidRPr="003D5488">
        <w:rPr>
          <w:rFonts w:ascii="Times New Roman" w:eastAsia="Times New Roman" w:hAnsi="Times New Roman" w:cs="Times New Roman"/>
          <w:i/>
          <w:iCs/>
          <w:szCs w:val="24"/>
          <w:lang w:eastAsia="tr-TR"/>
        </w:rPr>
        <w:t>Kobane’de</w:t>
      </w:r>
      <w:proofErr w:type="spellEnd"/>
      <w:r w:rsidRPr="003D5488">
        <w:rPr>
          <w:rFonts w:ascii="Times New Roman" w:eastAsia="Times New Roman" w:hAnsi="Times New Roman" w:cs="Times New Roman"/>
          <w:i/>
          <w:iCs/>
          <w:szCs w:val="24"/>
          <w:lang w:eastAsia="tr-TR"/>
        </w:rPr>
        <w:t xml:space="preserve"> duruş son derece kritiktir. IŞİD saldırılarını ve AKP iktidarının </w:t>
      </w:r>
      <w:proofErr w:type="spellStart"/>
      <w:r w:rsidRPr="003D5488">
        <w:rPr>
          <w:rFonts w:ascii="Times New Roman" w:eastAsia="Times New Roman" w:hAnsi="Times New Roman" w:cs="Times New Roman"/>
          <w:i/>
          <w:iCs/>
          <w:szCs w:val="24"/>
          <w:lang w:eastAsia="tr-TR"/>
        </w:rPr>
        <w:t>Kobané’ye</w:t>
      </w:r>
      <w:proofErr w:type="spellEnd"/>
      <w:r w:rsidRPr="003D5488">
        <w:rPr>
          <w:rFonts w:ascii="Times New Roman" w:eastAsia="Times New Roman" w:hAnsi="Times New Roman" w:cs="Times New Roman"/>
          <w:i/>
          <w:iCs/>
          <w:szCs w:val="24"/>
          <w:lang w:eastAsia="tr-TR"/>
        </w:rPr>
        <w:t xml:space="preserve"> ambargo tutumunu protesto etmek üzere halklarımızı sokağa çıkmaya ve sokağa çıkmış olanlara destek vermeye çağırıyoruz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lastRenderedPageBreak/>
        <w:t xml:space="preserve"> “</w:t>
      </w:r>
      <w:proofErr w:type="spellStart"/>
      <w:r w:rsidRPr="003D5488">
        <w:rPr>
          <w:rFonts w:ascii="Times New Roman" w:eastAsia="Times New Roman" w:hAnsi="Times New Roman" w:cs="Times New Roman"/>
          <w:i/>
          <w:iCs/>
          <w:szCs w:val="24"/>
          <w:lang w:eastAsia="tr-TR"/>
        </w:rPr>
        <w:t>Kobané’de</w:t>
      </w:r>
      <w:proofErr w:type="spellEnd"/>
      <w:r w:rsidRPr="003D5488">
        <w:rPr>
          <w:rFonts w:ascii="Times New Roman" w:eastAsia="Times New Roman" w:hAnsi="Times New Roman" w:cs="Times New Roman"/>
          <w:i/>
          <w:iCs/>
          <w:szCs w:val="24"/>
          <w:lang w:eastAsia="tr-TR"/>
        </w:rPr>
        <w:t xml:space="preserve"> yaşanan katliam girişimine karşı 7 den 70 e bütün halklarımızı sokağa, alan tutmaya ve harekete geçmeye çağırıyoruz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 xml:space="preserve"> “</w:t>
      </w:r>
      <w:r w:rsidRPr="003D5488">
        <w:rPr>
          <w:rFonts w:ascii="Times New Roman" w:eastAsia="Times New Roman" w:hAnsi="Times New Roman" w:cs="Times New Roman"/>
          <w:i/>
          <w:iCs/>
          <w:szCs w:val="24"/>
          <w:lang w:eastAsia="tr-TR"/>
        </w:rPr>
        <w:t xml:space="preserve">Bundan böyle her yer </w:t>
      </w:r>
      <w:proofErr w:type="spellStart"/>
      <w:r w:rsidRPr="003D5488">
        <w:rPr>
          <w:rFonts w:ascii="Times New Roman" w:eastAsia="Times New Roman" w:hAnsi="Times New Roman" w:cs="Times New Roman"/>
          <w:i/>
          <w:iCs/>
          <w:szCs w:val="24"/>
          <w:lang w:eastAsia="tr-TR"/>
        </w:rPr>
        <w:t>Kobane’dir</w:t>
      </w:r>
      <w:proofErr w:type="spellEnd"/>
      <w:r w:rsidRPr="003D5488">
        <w:rPr>
          <w:rFonts w:ascii="Times New Roman" w:eastAsia="Times New Roman" w:hAnsi="Times New Roman" w:cs="Times New Roman"/>
          <w:szCs w:val="24"/>
          <w:lang w:eastAsia="tr-TR"/>
        </w:rPr>
        <w:t>. </w:t>
      </w:r>
      <w:proofErr w:type="spellStart"/>
      <w:r w:rsidRPr="003D5488">
        <w:rPr>
          <w:rFonts w:ascii="Times New Roman" w:eastAsia="Times New Roman" w:hAnsi="Times New Roman" w:cs="Times New Roman"/>
          <w:i/>
          <w:iCs/>
          <w:szCs w:val="24"/>
          <w:lang w:eastAsia="tr-TR"/>
        </w:rPr>
        <w:t>Kobane’deki</w:t>
      </w:r>
      <w:proofErr w:type="spellEnd"/>
      <w:r w:rsidRPr="003D5488">
        <w:rPr>
          <w:rFonts w:ascii="Times New Roman" w:eastAsia="Times New Roman" w:hAnsi="Times New Roman" w:cs="Times New Roman"/>
          <w:i/>
          <w:iCs/>
          <w:szCs w:val="24"/>
          <w:lang w:eastAsia="tr-TR"/>
        </w:rPr>
        <w:t xml:space="preserve"> kuşatma ve vahşi saldırganlık son bulana kadar süresiz direnişe çağırıyoruz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21.  Aynı gün, PKK örgütünün “şehir kanadı” olan ve Yargıtay tarafından terör örgütü olarak kabul edilen KCK tarafından bir açıklama yapılmış, bu açıklama www.firatnews.com internet sitesinde yayımlanmıştır: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proofErr w:type="spellStart"/>
      <w:r w:rsidRPr="003D5488">
        <w:rPr>
          <w:rFonts w:ascii="Times New Roman" w:eastAsia="Times New Roman" w:hAnsi="Times New Roman" w:cs="Times New Roman"/>
          <w:i/>
          <w:iCs/>
          <w:szCs w:val="24"/>
          <w:lang w:eastAsia="tr-TR"/>
        </w:rPr>
        <w:t>Kobani</w:t>
      </w:r>
      <w:proofErr w:type="spellEnd"/>
      <w:r w:rsidRPr="003D5488">
        <w:rPr>
          <w:rFonts w:ascii="Times New Roman" w:eastAsia="Times New Roman" w:hAnsi="Times New Roman" w:cs="Times New Roman"/>
          <w:i/>
          <w:iCs/>
          <w:szCs w:val="24"/>
          <w:lang w:eastAsia="tr-TR"/>
        </w:rPr>
        <w:t xml:space="preserve"> ile başlayan devrim dalgası tüm Kürdistan’a yayılmalı ve Bu temelde Kürt gençliğinin ayaklanması çağrısında bulunuyoruz... Bütün halkımız Suruç’a gidebilecekler hemen bir saniye zaman kaybetmeden gitmeli ve Kürdistan’ın her karış toprağı </w:t>
      </w:r>
      <w:proofErr w:type="spellStart"/>
      <w:r w:rsidRPr="003D5488">
        <w:rPr>
          <w:rFonts w:ascii="Times New Roman" w:eastAsia="Times New Roman" w:hAnsi="Times New Roman" w:cs="Times New Roman"/>
          <w:i/>
          <w:iCs/>
          <w:szCs w:val="24"/>
          <w:lang w:eastAsia="tr-TR"/>
        </w:rPr>
        <w:t>Kobanê</w:t>
      </w:r>
      <w:proofErr w:type="spellEnd"/>
      <w:r w:rsidRPr="003D5488">
        <w:rPr>
          <w:rFonts w:ascii="Times New Roman" w:eastAsia="Times New Roman" w:hAnsi="Times New Roman" w:cs="Times New Roman"/>
          <w:i/>
          <w:iCs/>
          <w:szCs w:val="24"/>
          <w:lang w:eastAsia="tr-TR"/>
        </w:rPr>
        <w:t xml:space="preserve"> için ayağa kalkmalıdır... Tüm halkımızı yediden yetmişe bulunduğu her yerde yaşamı IŞİD ve işbirlikçisi AKP’ye dar etmeye ve </w:t>
      </w:r>
      <w:proofErr w:type="spellStart"/>
      <w:r w:rsidRPr="003D5488">
        <w:rPr>
          <w:rFonts w:ascii="Times New Roman" w:eastAsia="Times New Roman" w:hAnsi="Times New Roman" w:cs="Times New Roman"/>
          <w:i/>
          <w:iCs/>
          <w:szCs w:val="24"/>
          <w:lang w:eastAsia="tr-TR"/>
        </w:rPr>
        <w:t>serhıldanı</w:t>
      </w:r>
      <w:proofErr w:type="spellEnd"/>
      <w:r w:rsidRPr="003D5488">
        <w:rPr>
          <w:rFonts w:ascii="Times New Roman" w:eastAsia="Times New Roman" w:hAnsi="Times New Roman" w:cs="Times New Roman"/>
          <w:i/>
          <w:iCs/>
          <w:szCs w:val="24"/>
          <w:lang w:eastAsia="tr-TR"/>
        </w:rPr>
        <w:t xml:space="preserve"> en üst düzeyde geliştirerek bu katliamcı çetelere karşı durmaya çağırıyoruz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22.  7 Ekim 2014 tarihinde KCK Yürütme Konseyi tarafından yapılan açıklama, aynı internet sitesinde yayınlanmıştır: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 </w:t>
      </w: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Halkımız bu çirkin ve sinsi katliam karşısında başlattığı mücadeleyi her yere, her zamana taşıyarak süreklileştirmelidir.</w:t>
      </w:r>
      <w:r w:rsidR="00404F65">
        <w:rPr>
          <w:rFonts w:ascii="Times New Roman" w:eastAsia="Times New Roman" w:hAnsi="Times New Roman" w:cs="Times New Roman"/>
          <w:i/>
          <w:iCs/>
          <w:szCs w:val="24"/>
          <w:lang w:eastAsia="tr-TR"/>
        </w:rPr>
        <w:t xml:space="preserve"> Kuzey halkımız I</w:t>
      </w:r>
      <w:r w:rsidRPr="003D5488">
        <w:rPr>
          <w:rFonts w:ascii="Times New Roman" w:eastAsia="Times New Roman" w:hAnsi="Times New Roman" w:cs="Times New Roman"/>
          <w:i/>
          <w:iCs/>
          <w:szCs w:val="24"/>
          <w:lang w:eastAsia="tr-TR"/>
        </w:rPr>
        <w:t xml:space="preserve">ŞİD çetelerine, uzantılarına ve destekçilerine hiçbir yerde yaşam şansı tanımamalıdır. Tüm sokaklar </w:t>
      </w:r>
      <w:proofErr w:type="spellStart"/>
      <w:r w:rsidRPr="003D5488">
        <w:rPr>
          <w:rFonts w:ascii="Times New Roman" w:eastAsia="Times New Roman" w:hAnsi="Times New Roman" w:cs="Times New Roman"/>
          <w:i/>
          <w:iCs/>
          <w:szCs w:val="24"/>
          <w:lang w:eastAsia="tr-TR"/>
        </w:rPr>
        <w:t>Kobani</w:t>
      </w:r>
      <w:proofErr w:type="spellEnd"/>
      <w:r w:rsidRPr="003D5488">
        <w:rPr>
          <w:rFonts w:ascii="Times New Roman" w:eastAsia="Times New Roman" w:hAnsi="Times New Roman" w:cs="Times New Roman"/>
          <w:i/>
          <w:iCs/>
          <w:szCs w:val="24"/>
          <w:lang w:eastAsia="tr-TR"/>
        </w:rPr>
        <w:t xml:space="preserve"> sokaklarına dönüştürülmeli, tarihin bu eşsiz direnişine denk bir direniş gücü ve örgütlülüğü geliştirilmelidir. Bu saatten itibaren milyonlar sokaklara akmalı, sınır insan seline dönüşmelidir. Her Kürt ve onurlu her insan, dostlar, duyarlı kesimler bu andan itibaren eyleme geçmelidir. An direniş eylemini geliştirme ve büyütme anıdır. Bu temelde tüm halkımızı, duyarlı kesimleri, dostlarımızı </w:t>
      </w:r>
      <w:proofErr w:type="spellStart"/>
      <w:r w:rsidRPr="003D5488">
        <w:rPr>
          <w:rFonts w:ascii="Times New Roman" w:eastAsia="Times New Roman" w:hAnsi="Times New Roman" w:cs="Times New Roman"/>
          <w:i/>
          <w:iCs/>
          <w:szCs w:val="24"/>
          <w:lang w:eastAsia="tr-TR"/>
        </w:rPr>
        <w:t>Kobani</w:t>
      </w:r>
      <w:proofErr w:type="spellEnd"/>
      <w:r w:rsidRPr="003D5488">
        <w:rPr>
          <w:rFonts w:ascii="Times New Roman" w:eastAsia="Times New Roman" w:hAnsi="Times New Roman" w:cs="Times New Roman"/>
          <w:i/>
          <w:iCs/>
          <w:szCs w:val="24"/>
          <w:lang w:eastAsia="tr-TR"/>
        </w:rPr>
        <w:t xml:space="preserve"> direnişini sahiplenerek büyümeye, başta Kürt gençleri olmak üzere tüm gençleri </w:t>
      </w:r>
      <w:proofErr w:type="spellStart"/>
      <w:r w:rsidRPr="003D5488">
        <w:rPr>
          <w:rFonts w:ascii="Times New Roman" w:eastAsia="Times New Roman" w:hAnsi="Times New Roman" w:cs="Times New Roman"/>
          <w:i/>
          <w:iCs/>
          <w:szCs w:val="24"/>
          <w:lang w:eastAsia="tr-TR"/>
        </w:rPr>
        <w:t>Kobani</w:t>
      </w:r>
      <w:proofErr w:type="spellEnd"/>
      <w:r w:rsidRPr="003D5488">
        <w:rPr>
          <w:rFonts w:ascii="Times New Roman" w:eastAsia="Times New Roman" w:hAnsi="Times New Roman" w:cs="Times New Roman"/>
          <w:i/>
          <w:iCs/>
          <w:szCs w:val="24"/>
          <w:lang w:eastAsia="tr-TR"/>
        </w:rPr>
        <w:t xml:space="preserve"> de özgürlük saflarına katılarak direnişi yükseltmeye çağırıyoruz.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3" w:name="manifestationsdeviennentviolentes"/>
      <w:r w:rsidRPr="003D5488">
        <w:rPr>
          <w:rFonts w:ascii="Times New Roman" w:eastAsia="Times New Roman" w:hAnsi="Times New Roman" w:cs="Times New Roman"/>
          <w:sz w:val="24"/>
          <w:szCs w:val="24"/>
          <w:lang w:eastAsia="tr-TR"/>
        </w:rPr>
        <w:t>23</w:t>
      </w:r>
      <w:bookmarkEnd w:id="3"/>
      <w:r w:rsidRPr="003D5488">
        <w:rPr>
          <w:rFonts w:ascii="Times New Roman" w:eastAsia="Times New Roman" w:hAnsi="Times New Roman" w:cs="Times New Roman"/>
          <w:sz w:val="24"/>
          <w:szCs w:val="24"/>
          <w:lang w:eastAsia="tr-TR"/>
        </w:rPr>
        <w:t xml:space="preserve">.  6 Ekim 2014’ten sonra eylemler (bakınız 18. paragraf) giderek şiddetlenmiştir. Şiddetin yayılmasının ardından, bazı şehirlerde sokağa çıkma yasakları ilan edilmiştir.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4" w:name="declarationsdu7et9octobre"/>
      <w:r w:rsidRPr="003D5488">
        <w:rPr>
          <w:rFonts w:ascii="Times New Roman" w:eastAsia="Times New Roman" w:hAnsi="Times New Roman" w:cs="Times New Roman"/>
          <w:sz w:val="24"/>
          <w:szCs w:val="24"/>
          <w:lang w:eastAsia="tr-TR"/>
        </w:rPr>
        <w:t>24</w:t>
      </w:r>
      <w:bookmarkEnd w:id="4"/>
      <w:r w:rsidRPr="003D5488">
        <w:rPr>
          <w:rFonts w:ascii="Times New Roman" w:eastAsia="Times New Roman" w:hAnsi="Times New Roman" w:cs="Times New Roman"/>
          <w:sz w:val="24"/>
          <w:szCs w:val="24"/>
          <w:lang w:eastAsia="tr-TR"/>
        </w:rPr>
        <w:t xml:space="preserve">.  7 ve 9 Ekim 2014 tarihinde başvurucu tarafından eylemlerde şiddet kullanılmasına karşı çıkan iki açıklama yapılmıştır. Başvurucu, partisinin Hükümet ile işbirliği yapmaya hazır olduğunu ancak önce şiddet olaylarının arkasındaki </w:t>
      </w:r>
      <w:proofErr w:type="spellStart"/>
      <w:r w:rsidRPr="003D5488">
        <w:rPr>
          <w:rFonts w:ascii="Times New Roman" w:eastAsia="Times New Roman" w:hAnsi="Times New Roman" w:cs="Times New Roman"/>
          <w:sz w:val="24"/>
          <w:szCs w:val="24"/>
          <w:lang w:eastAsia="tr-TR"/>
        </w:rPr>
        <w:t>provakatörlerin</w:t>
      </w:r>
      <w:proofErr w:type="spellEnd"/>
      <w:r w:rsidRPr="003D5488">
        <w:rPr>
          <w:rFonts w:ascii="Times New Roman" w:eastAsia="Times New Roman" w:hAnsi="Times New Roman" w:cs="Times New Roman"/>
          <w:sz w:val="24"/>
          <w:szCs w:val="24"/>
          <w:lang w:eastAsia="tr-TR"/>
        </w:rPr>
        <w:t xml:space="preserve"> tespit edilmesi gerektiğini söylemiştir.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5" w:name="bilandu6et8octobre2014"/>
      <w:r w:rsidRPr="003D5488">
        <w:rPr>
          <w:rFonts w:ascii="Times New Roman" w:eastAsia="Times New Roman" w:hAnsi="Times New Roman" w:cs="Times New Roman"/>
          <w:sz w:val="24"/>
          <w:szCs w:val="24"/>
          <w:lang w:eastAsia="tr-TR"/>
        </w:rPr>
        <w:t>25</w:t>
      </w:r>
      <w:bookmarkEnd w:id="5"/>
      <w:r w:rsidRPr="003D5488">
        <w:rPr>
          <w:rFonts w:ascii="Times New Roman" w:eastAsia="Times New Roman" w:hAnsi="Times New Roman" w:cs="Times New Roman"/>
          <w:sz w:val="24"/>
          <w:szCs w:val="24"/>
          <w:lang w:eastAsia="tr-TR"/>
        </w:rPr>
        <w:t>.  Anayasa Mahkemesi’nin başvurucunun bireysel başvurusunda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2016/25189) 21 Aralık 2017 tarihinde verdiği kararda belirtilen sayılara göre, 6 ve 8 Ekim 2014’te meydana gelen olaylarda 50 kişi hayatını </w:t>
      </w:r>
      <w:r w:rsidRPr="003D5488">
        <w:rPr>
          <w:rFonts w:ascii="Times New Roman" w:eastAsia="Times New Roman" w:hAnsi="Times New Roman" w:cs="Times New Roman"/>
          <w:sz w:val="24"/>
          <w:szCs w:val="24"/>
          <w:lang w:eastAsia="tr-TR"/>
        </w:rPr>
        <w:lastRenderedPageBreak/>
        <w:t xml:space="preserve">kaybetmiş, güvenlik mensubu 331 kişinin de </w:t>
      </w:r>
      <w:r w:rsidR="00DA1D16">
        <w:rPr>
          <w:rFonts w:ascii="Times New Roman" w:eastAsia="Times New Roman" w:hAnsi="Times New Roman" w:cs="Times New Roman"/>
          <w:sz w:val="24"/>
          <w:szCs w:val="24"/>
          <w:lang w:eastAsia="tr-TR"/>
        </w:rPr>
        <w:t>dâhil</w:t>
      </w:r>
      <w:r w:rsidRPr="003D5488">
        <w:rPr>
          <w:rFonts w:ascii="Times New Roman" w:eastAsia="Times New Roman" w:hAnsi="Times New Roman" w:cs="Times New Roman"/>
          <w:sz w:val="24"/>
          <w:szCs w:val="24"/>
          <w:lang w:eastAsia="tr-TR"/>
        </w:rPr>
        <w:t xml:space="preserve"> olduğu en az 772 kişi yaralanmıştır. En az 1,881 araç ve hastane ve okullar da </w:t>
      </w:r>
      <w:r w:rsidR="00DA1D16">
        <w:rPr>
          <w:rFonts w:ascii="Times New Roman" w:eastAsia="Times New Roman" w:hAnsi="Times New Roman" w:cs="Times New Roman"/>
          <w:sz w:val="24"/>
          <w:szCs w:val="24"/>
          <w:lang w:eastAsia="tr-TR"/>
        </w:rPr>
        <w:t>dâhil</w:t>
      </w:r>
      <w:r w:rsidRPr="003D5488">
        <w:rPr>
          <w:rFonts w:ascii="Times New Roman" w:eastAsia="Times New Roman" w:hAnsi="Times New Roman" w:cs="Times New Roman"/>
          <w:sz w:val="24"/>
          <w:szCs w:val="24"/>
          <w:lang w:eastAsia="tr-TR"/>
        </w:rPr>
        <w:t xml:space="preserve"> olmak üzere 2,558 bina zarar görmüştür. Soruşturma makamları tarafından başlatılan soruşturmalar kapsamında 4,291 kişi gözaltına alınmış, 1,105 kişi tutuklanmıştır. (bakınız Anayasa Mahkemesi kararının 30. paragrafı) Savcılara göre, şiddet,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Twitter</w:t>
      </w:r>
      <w:proofErr w:type="spellEnd"/>
      <w:r w:rsidRPr="003D5488">
        <w:rPr>
          <w:rFonts w:ascii="Times New Roman" w:eastAsia="Times New Roman" w:hAnsi="Times New Roman" w:cs="Times New Roman"/>
          <w:sz w:val="24"/>
          <w:szCs w:val="24"/>
          <w:lang w:eastAsia="tr-TR"/>
        </w:rPr>
        <w:t xml:space="preserve"> hesabından yaptığı çağrının ardından artmıştır.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6" w:name="discoursdu9octobre"/>
      <w:bookmarkStart w:id="7" w:name="declarationdu9octobre"/>
      <w:bookmarkEnd w:id="6"/>
      <w:r w:rsidRPr="003D5488">
        <w:rPr>
          <w:rFonts w:ascii="Times New Roman" w:eastAsia="Times New Roman" w:hAnsi="Times New Roman" w:cs="Times New Roman"/>
          <w:sz w:val="24"/>
          <w:szCs w:val="24"/>
          <w:lang w:eastAsia="tr-TR"/>
        </w:rPr>
        <w:t>26</w:t>
      </w:r>
      <w:bookmarkEnd w:id="7"/>
      <w:r w:rsidRPr="003D5488">
        <w:rPr>
          <w:rFonts w:ascii="Times New Roman" w:eastAsia="Times New Roman" w:hAnsi="Times New Roman" w:cs="Times New Roman"/>
          <w:sz w:val="24"/>
          <w:szCs w:val="24"/>
          <w:lang w:eastAsia="tr-TR"/>
        </w:rPr>
        <w:t xml:space="preserve">.  9 Ekim 2014 tarihinde başvurucu,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Diyarbakır binasında bir konuşma yapmıştır. Konuşmanın ilgili bölümleri şu şekildedir: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DAEŞ örgütünün </w:t>
      </w:r>
      <w:proofErr w:type="spellStart"/>
      <w:r w:rsidRPr="003D5488">
        <w:rPr>
          <w:rFonts w:ascii="Times New Roman" w:eastAsia="Times New Roman" w:hAnsi="Times New Roman" w:cs="Times New Roman"/>
          <w:i/>
          <w:iCs/>
          <w:szCs w:val="24"/>
          <w:lang w:eastAsia="tr-TR"/>
        </w:rPr>
        <w:t>Mürşitpınar</w:t>
      </w:r>
      <w:proofErr w:type="spellEnd"/>
      <w:r w:rsidRPr="003D5488">
        <w:rPr>
          <w:rFonts w:ascii="Times New Roman" w:eastAsia="Times New Roman" w:hAnsi="Times New Roman" w:cs="Times New Roman"/>
          <w:i/>
          <w:iCs/>
          <w:szCs w:val="24"/>
          <w:lang w:eastAsia="tr-TR"/>
        </w:rPr>
        <w:t xml:space="preserve"> sınır kapısına dayandığını öğrendiğimiz için bahsi geçen çağrıları yaptık, insanlar sokağa çıktı hiçbir yerde şiddet kullanılmadı. Şiddet kullanılsın demedik. Siyasi mücadele amaçlı bir çağrı yaptık. Şiddeti büyüten </w:t>
      </w:r>
      <w:proofErr w:type="spellStart"/>
      <w:r w:rsidRPr="003D5488">
        <w:rPr>
          <w:rFonts w:ascii="Times New Roman" w:eastAsia="Times New Roman" w:hAnsi="Times New Roman" w:cs="Times New Roman"/>
          <w:i/>
          <w:iCs/>
          <w:szCs w:val="24"/>
          <w:lang w:eastAsia="tr-TR"/>
        </w:rPr>
        <w:t>HDP’nin</w:t>
      </w:r>
      <w:proofErr w:type="spellEnd"/>
      <w:r w:rsidRPr="003D5488">
        <w:rPr>
          <w:rFonts w:ascii="Times New Roman" w:eastAsia="Times New Roman" w:hAnsi="Times New Roman" w:cs="Times New Roman"/>
          <w:i/>
          <w:iCs/>
          <w:szCs w:val="24"/>
          <w:lang w:eastAsia="tr-TR"/>
        </w:rPr>
        <w:t xml:space="preserve"> çağrısı değil, halkın gösterileri değil. Tahrik edenleri bulmak hükümetin görevidir. Şiddet eylemleri olmamalı. </w:t>
      </w:r>
      <w:proofErr w:type="spellStart"/>
      <w:r w:rsidRPr="003D5488">
        <w:rPr>
          <w:rFonts w:ascii="Times New Roman" w:eastAsia="Times New Roman" w:hAnsi="Times New Roman" w:cs="Times New Roman"/>
          <w:i/>
          <w:iCs/>
          <w:szCs w:val="24"/>
          <w:lang w:eastAsia="tr-TR"/>
        </w:rPr>
        <w:t>Kobane’yi</w:t>
      </w:r>
      <w:proofErr w:type="spellEnd"/>
      <w:r w:rsidRPr="003D5488">
        <w:rPr>
          <w:rFonts w:ascii="Times New Roman" w:eastAsia="Times New Roman" w:hAnsi="Times New Roman" w:cs="Times New Roman"/>
          <w:i/>
          <w:iCs/>
          <w:szCs w:val="24"/>
          <w:lang w:eastAsia="tr-TR"/>
        </w:rPr>
        <w:t xml:space="preserve"> sahiplenme eylemlerine müdahale edilmemeli ...</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8" w:name="entretiendu13octobre"/>
      <w:r w:rsidRPr="003D5488">
        <w:rPr>
          <w:rFonts w:ascii="Times New Roman" w:eastAsia="Times New Roman" w:hAnsi="Times New Roman" w:cs="Times New Roman"/>
          <w:sz w:val="24"/>
          <w:szCs w:val="24"/>
          <w:lang w:eastAsia="tr-TR"/>
        </w:rPr>
        <w:t>27</w:t>
      </w:r>
      <w:bookmarkEnd w:id="8"/>
      <w:r w:rsidRPr="003D5488">
        <w:rPr>
          <w:rFonts w:ascii="Times New Roman" w:eastAsia="Times New Roman" w:hAnsi="Times New Roman" w:cs="Times New Roman"/>
          <w:sz w:val="24"/>
          <w:szCs w:val="24"/>
          <w:lang w:eastAsia="tr-TR"/>
        </w:rPr>
        <w:t xml:space="preserve">.  Başvurucuyla yapılan röportaj, 13 Ekim 2014 tarihinde </w:t>
      </w:r>
      <w:r w:rsidRPr="003D5488">
        <w:rPr>
          <w:rFonts w:ascii="Times New Roman" w:eastAsia="Times New Roman" w:hAnsi="Times New Roman" w:cs="Times New Roman"/>
          <w:i/>
          <w:sz w:val="24"/>
          <w:szCs w:val="24"/>
          <w:lang w:eastAsia="tr-TR"/>
        </w:rPr>
        <w:t>Evrensel</w:t>
      </w:r>
      <w:r w:rsidRPr="003D5488">
        <w:rPr>
          <w:rFonts w:ascii="Times New Roman" w:eastAsia="Times New Roman" w:hAnsi="Times New Roman" w:cs="Times New Roman"/>
          <w:sz w:val="24"/>
          <w:szCs w:val="24"/>
          <w:lang w:eastAsia="tr-TR"/>
        </w:rPr>
        <w:t xml:space="preserve"> gazetesinde yayımlanmıştır: </w:t>
      </w:r>
    </w:p>
    <w:p w:rsidR="00393B35" w:rsidRPr="003D5488" w:rsidRDefault="00812749" w:rsidP="00074653">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Doğrudan </w:t>
      </w:r>
      <w:proofErr w:type="spellStart"/>
      <w:r w:rsidRPr="003D5488">
        <w:rPr>
          <w:rFonts w:ascii="Times New Roman" w:eastAsia="Times New Roman" w:hAnsi="Times New Roman" w:cs="Times New Roman"/>
          <w:i/>
          <w:iCs/>
          <w:szCs w:val="24"/>
          <w:lang w:eastAsia="tr-TR"/>
        </w:rPr>
        <w:t>Kobaniyle</w:t>
      </w:r>
      <w:proofErr w:type="spellEnd"/>
      <w:r w:rsidRPr="003D5488">
        <w:rPr>
          <w:rFonts w:ascii="Times New Roman" w:eastAsia="Times New Roman" w:hAnsi="Times New Roman" w:cs="Times New Roman"/>
          <w:i/>
          <w:iCs/>
          <w:szCs w:val="24"/>
          <w:lang w:eastAsia="tr-TR"/>
        </w:rPr>
        <w:t xml:space="preserve"> bağlantılıdır. Öfkeyi yatıştırabilecek olan biz değiliz. Bizim halk üzerinde ne böyle bir gücümüz vardır ne de buna gerek vardır. Yani halk </w:t>
      </w:r>
      <w:proofErr w:type="spellStart"/>
      <w:r w:rsidRPr="003D5488">
        <w:rPr>
          <w:rFonts w:ascii="Times New Roman" w:eastAsia="Times New Roman" w:hAnsi="Times New Roman" w:cs="Times New Roman"/>
          <w:i/>
          <w:iCs/>
          <w:szCs w:val="24"/>
          <w:lang w:eastAsia="tr-TR"/>
        </w:rPr>
        <w:t>IŞİD’e</w:t>
      </w:r>
      <w:proofErr w:type="spellEnd"/>
      <w:r w:rsidRPr="003D5488">
        <w:rPr>
          <w:rFonts w:ascii="Times New Roman" w:eastAsia="Times New Roman" w:hAnsi="Times New Roman" w:cs="Times New Roman"/>
          <w:i/>
          <w:iCs/>
          <w:szCs w:val="24"/>
          <w:lang w:eastAsia="tr-TR"/>
        </w:rPr>
        <w:t xml:space="preserve"> karşı durmasın sempati duysun diye uğraşacak değiliz. Biz hükümetin atacağı pratik adımların </w:t>
      </w:r>
      <w:proofErr w:type="spellStart"/>
      <w:r w:rsidRPr="003D5488">
        <w:rPr>
          <w:rFonts w:ascii="Times New Roman" w:eastAsia="Times New Roman" w:hAnsi="Times New Roman" w:cs="Times New Roman"/>
          <w:i/>
          <w:iCs/>
          <w:szCs w:val="24"/>
          <w:lang w:eastAsia="tr-TR"/>
        </w:rPr>
        <w:t>IŞİD’in</w:t>
      </w:r>
      <w:proofErr w:type="spellEnd"/>
      <w:r w:rsidRPr="003D5488">
        <w:rPr>
          <w:rFonts w:ascii="Times New Roman" w:eastAsia="Times New Roman" w:hAnsi="Times New Roman" w:cs="Times New Roman"/>
          <w:i/>
          <w:iCs/>
          <w:szCs w:val="24"/>
          <w:lang w:eastAsia="tr-TR"/>
        </w:rPr>
        <w:t xml:space="preserve"> </w:t>
      </w:r>
      <w:proofErr w:type="spellStart"/>
      <w:r w:rsidRPr="003D5488">
        <w:rPr>
          <w:rFonts w:ascii="Times New Roman" w:eastAsia="Times New Roman" w:hAnsi="Times New Roman" w:cs="Times New Roman"/>
          <w:i/>
          <w:iCs/>
          <w:szCs w:val="24"/>
          <w:lang w:eastAsia="tr-TR"/>
        </w:rPr>
        <w:t>Kobani’den</w:t>
      </w:r>
      <w:proofErr w:type="spellEnd"/>
      <w:r w:rsidRPr="003D5488">
        <w:rPr>
          <w:rFonts w:ascii="Times New Roman" w:eastAsia="Times New Roman" w:hAnsi="Times New Roman" w:cs="Times New Roman"/>
          <w:i/>
          <w:iCs/>
          <w:szCs w:val="24"/>
          <w:lang w:eastAsia="tr-TR"/>
        </w:rPr>
        <w:t xml:space="preserve"> püskürtülmesiyle sonuçlanmasının bu öfkeyi durduracağını düşünüyoruz. Elbette ki bundan kastettiğim şiddet olayları değil. Biz silah kullanma, yakıp yıkma, </w:t>
      </w:r>
      <w:proofErr w:type="spellStart"/>
      <w:r w:rsidRPr="003D5488">
        <w:rPr>
          <w:rFonts w:ascii="Times New Roman" w:eastAsia="Times New Roman" w:hAnsi="Times New Roman" w:cs="Times New Roman"/>
          <w:i/>
          <w:iCs/>
          <w:szCs w:val="24"/>
          <w:lang w:eastAsia="tr-TR"/>
        </w:rPr>
        <w:t>yapmalama</w:t>
      </w:r>
      <w:proofErr w:type="spellEnd"/>
      <w:r w:rsidRPr="003D5488">
        <w:rPr>
          <w:rFonts w:ascii="Times New Roman" w:eastAsia="Times New Roman" w:hAnsi="Times New Roman" w:cs="Times New Roman"/>
          <w:i/>
          <w:iCs/>
          <w:szCs w:val="24"/>
          <w:lang w:eastAsia="tr-TR"/>
        </w:rPr>
        <w:t xml:space="preserve"> gibi şiddet eylemlerini teşvik etmedik, tahrik etmedik, örgütlemedik ama halkın öfkesinin alanlarda, meydanlarda, gece gündüz evinde, sokakta, arabasında elindeki bütün </w:t>
      </w:r>
      <w:r w:rsidR="00DA1D16">
        <w:rPr>
          <w:rFonts w:ascii="Times New Roman" w:eastAsia="Times New Roman" w:hAnsi="Times New Roman" w:cs="Times New Roman"/>
          <w:i/>
          <w:iCs/>
          <w:szCs w:val="24"/>
          <w:lang w:eastAsia="tr-TR"/>
        </w:rPr>
        <w:t>imkân</w:t>
      </w:r>
      <w:r w:rsidRPr="003D5488">
        <w:rPr>
          <w:rFonts w:ascii="Times New Roman" w:eastAsia="Times New Roman" w:hAnsi="Times New Roman" w:cs="Times New Roman"/>
          <w:i/>
          <w:iCs/>
          <w:szCs w:val="24"/>
          <w:lang w:eastAsia="tr-TR"/>
        </w:rPr>
        <w:t>larla bir protestoya dönüşmesinin çağrısını yaptık. O çağrının da halen arkasındayız</w:t>
      </w:r>
      <w:r w:rsidRPr="003D5488">
        <w:rPr>
          <w:rFonts w:ascii="Times New Roman" w:eastAsia="Times New Roman" w:hAnsi="Times New Roman" w:cs="Times New Roman"/>
          <w:szCs w:val="24"/>
          <w:lang w:eastAsia="tr-TR"/>
        </w:rPr>
        <w:t>.”</w:t>
      </w:r>
    </w:p>
    <w:p w:rsidR="00074653" w:rsidRPr="003D5488" w:rsidRDefault="00074653" w:rsidP="00074653">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p>
    <w:p w:rsidR="00812749" w:rsidRPr="003D5488" w:rsidRDefault="00812749" w:rsidP="00393B35">
      <w:pPr>
        <w:pStyle w:val="Balk1"/>
        <w:rPr>
          <w:color w:val="auto"/>
        </w:rPr>
      </w:pPr>
      <w:r w:rsidRPr="003D5488">
        <w:rPr>
          <w:color w:val="auto"/>
        </w:rPr>
        <w:t xml:space="preserve">“ÇÖZÜM SÜRECİ” VE SONU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9" w:name="discoursdu11octobre2011"/>
      <w:r w:rsidRPr="003D5488">
        <w:rPr>
          <w:rFonts w:ascii="Times New Roman" w:eastAsia="Times New Roman" w:hAnsi="Times New Roman" w:cs="Times New Roman"/>
          <w:sz w:val="24"/>
          <w:szCs w:val="24"/>
          <w:lang w:eastAsia="tr-TR"/>
        </w:rPr>
        <w:t>28</w:t>
      </w:r>
      <w:bookmarkEnd w:id="9"/>
      <w:r w:rsidRPr="003D5488">
        <w:rPr>
          <w:rFonts w:ascii="Times New Roman" w:eastAsia="Times New Roman" w:hAnsi="Times New Roman" w:cs="Times New Roman"/>
          <w:sz w:val="24"/>
          <w:szCs w:val="24"/>
          <w:lang w:eastAsia="tr-TR"/>
        </w:rPr>
        <w:t xml:space="preserve">.  Barış ve Demokrasi Partisi (BDP) eş genel başkanı olduğu 11 Ekim 2011 tarihinde başvurucu, partisinin grup toplantısında bir konuşma yapmıştır. Konuşmanın ilgili bölümleri şöyledir: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İmralı’da tutulan bir şahıs değildir, Türkiye’nin özgürlüğe, barışa dair geleceğidir. O nedenle ev hapsini kısa vadede hemen uygulamaya koymalıdır hükümet, bu öneri ciddi bir öneridir. Bakın yıllarca, "gidin İmralı’da görüşme yapın" dedik, saldırdınız, hakaretler ettiniz "böyle şey mi olur" dediniz. Bunu söylerken bile gidip görüştünüz. İyi de yaptınız. Görüştüğünüz yıllarda akan </w:t>
      </w:r>
      <w:r w:rsidRPr="003D5488">
        <w:rPr>
          <w:rFonts w:ascii="Times New Roman" w:eastAsia="Times New Roman" w:hAnsi="Times New Roman" w:cs="Times New Roman"/>
          <w:i/>
          <w:iCs/>
          <w:szCs w:val="24"/>
          <w:lang w:eastAsia="tr-TR"/>
        </w:rPr>
        <w:lastRenderedPageBreak/>
        <w:t xml:space="preserve">kanı durdurdunuz, ateşkesleri sağladınız. Fena mı oldu? Kim bilir kaç bin insanın canı kurtuldu, kaç bin gencin canı kurtuldu, kaç bin ananın acısını önlediniz fena mı oldu? Önerimiz yerindeydi, doğruydu, ısrar ettik gerçekleşti. Şimdi bu yaptığımız öneriyi de sağduyuyla sağlıklı, akılcı bir şekilde Türkiye tartışmak durumundadır. Bildiğimiz, inandığımız, doğru, akılcı, gerçekçi yolu gösteriyoruz. Bunun dışındaki hiçbir yol çözüm yolu değildir. Şuraya buraya bayrak dikmekle, bayrak dikmeye çalışmakla sadece kan dökersiniz, sadece sorunu on yıllarca ertelersiniz, sorunu büyütürsünüz. Ama akılcı yolları gösterenleri linç etmeye çalışırsanız ortada görüşebileceğiniz, ortada konuşabileceğiniz hiç kimse kalmayacaktır. Bize yönelik bu linç tutumu, bizim önerilerimize karşı bu </w:t>
      </w:r>
      <w:proofErr w:type="spellStart"/>
      <w:r w:rsidRPr="003D5488">
        <w:rPr>
          <w:rFonts w:ascii="Times New Roman" w:eastAsia="Times New Roman" w:hAnsi="Times New Roman" w:cs="Times New Roman"/>
          <w:i/>
          <w:iCs/>
          <w:szCs w:val="24"/>
          <w:lang w:eastAsia="tr-TR"/>
        </w:rPr>
        <w:t>hakaretvari</w:t>
      </w:r>
      <w:proofErr w:type="spellEnd"/>
      <w:r w:rsidRPr="003D5488">
        <w:rPr>
          <w:rFonts w:ascii="Times New Roman" w:eastAsia="Times New Roman" w:hAnsi="Times New Roman" w:cs="Times New Roman"/>
          <w:i/>
          <w:iCs/>
          <w:szCs w:val="24"/>
          <w:lang w:eastAsia="tr-TR"/>
        </w:rPr>
        <w:t xml:space="preserve"> yaklaşım çözümün önünü tıkayan en ciddi, en sıkıntılı anlayıştır. Açıkça tartışılsın, ev hapsinin neyi yanlıştır? Ortada bir Kürt sorunu var mı? Var. Osmanlı’dan devraldığımız tarihi bir sorunla karşı karşıya mıyız? Evet. Bu sorunu çözmek zorunda mıyız? Evet. Bu sorun 29 isyana konu olmuş mu? Evet. Son isyan hangisi? Bu isyan, bu isyanın lideri kim? Abdullah Öcalan. O nerede? İmralı’da</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29.  2012 yılının sonuna doğru, Kürt sorununa barışçıl bir çözüm bulmak amacıyla “çözüm süreci” olarak bilinen bir barış süreci başlatılmıştır. Türkiye’de insan haklarının korunmasını geliştirmek amacıyla bir dizi reform kabul edilmiştir. Başvurucunun da olduğu milletvekillerinden oluşan heyet, Abdullah Öcalan’ın tutulduğu cezaevinin bulunduğu İmralı adasında ziyaretler gerçekleştirmiştir. 28 Şubat 2015 tarihinde heyet, o dönemin Başbakanı ile “Dolmabahçe </w:t>
      </w:r>
      <w:proofErr w:type="spellStart"/>
      <w:r w:rsidRPr="003D5488">
        <w:rPr>
          <w:rFonts w:ascii="Times New Roman" w:eastAsia="Times New Roman" w:hAnsi="Times New Roman" w:cs="Times New Roman"/>
          <w:sz w:val="24"/>
          <w:szCs w:val="24"/>
          <w:lang w:eastAsia="tr-TR"/>
        </w:rPr>
        <w:t>Mutabakatı”nı</w:t>
      </w:r>
      <w:proofErr w:type="spellEnd"/>
      <w:r w:rsidRPr="003D5488">
        <w:rPr>
          <w:rFonts w:ascii="Times New Roman" w:eastAsia="Times New Roman" w:hAnsi="Times New Roman" w:cs="Times New Roman"/>
          <w:sz w:val="24"/>
          <w:szCs w:val="24"/>
          <w:lang w:eastAsia="tr-TR"/>
        </w:rPr>
        <w:t xml:space="preserve"> duyurmuştur. Dönemin Başbakanı, mutabakatın Türkiye’deki terör faaliyetlerini sona erdirecek önemli adımlar atılacağı anlamına geldiğini belirtmiştir. Ancak, bu duyurunun ardından kısa bir süre sonra Cumhurbaşkanı, bir terör örgütüyle anlaşmaya varmanın söz konusu olamayacağını söylemiştir. Bu açıklama, çözüm sürecinin sonu olarak görülmüştür. Bunun akabinde, 7 Haziran 2015 tarihli genel seçimlerden birkaç hafta önce Başbakan Yardımcı basına şu açıklamada bulunmuştur: “HDP barajı geçerse, çözüm süreci kalmaz.”</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30.  5 Haziran 2015 tarihinde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Diyarbakır’daki son seçim mitinginde IŞİD tarafından yapıldığı anlaşılan ve iki kişinin hayatını kaybettiği bir terör saldırısı gerçekleştirilmiştir. 100’den fazla kişi yaralanmıştır.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31.  7 Haziran 2015 tarihinde genel seçimler yapılmış, ilk defa Kürt yanlısı bir parti barajı geçerek Meclis’e girmiştir. HDP, oyların %13.12’sini alarak ikinci büyük muhalefet partisi olmuştur. Ek olarak, AKP, 2002’den bu yana ilk kez Meclis’teki çoğunluğu kaybetmiştir.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 xml:space="preserve">32.  20 Temmuz 2015 tarihinde Suruç’ta, 34 kişinin hayatını kaybetmesine ve 100’den fazla insanın yaralanmasına neden olan ve IŞİD tarafından yapıldığı anlaşılan bir terör eylemi olmuştur.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  22 Temmuz 2015 tarihinde, PKK tarafından yapıldığı iddia edilen, Ceylanpınar’da iki polis memurunun evlerinde öldürüldüğü başka bir terör saldırısı yaşanmıştır. “Çözüm </w:t>
      </w:r>
      <w:proofErr w:type="spellStart"/>
      <w:r w:rsidRPr="003D5488">
        <w:rPr>
          <w:rFonts w:ascii="Times New Roman" w:eastAsia="Times New Roman" w:hAnsi="Times New Roman" w:cs="Times New Roman"/>
          <w:sz w:val="24"/>
          <w:szCs w:val="24"/>
          <w:lang w:eastAsia="tr-TR"/>
        </w:rPr>
        <w:t>süreci”nin</w:t>
      </w:r>
      <w:proofErr w:type="spellEnd"/>
      <w:r w:rsidRPr="003D5488">
        <w:rPr>
          <w:rFonts w:ascii="Times New Roman" w:eastAsia="Times New Roman" w:hAnsi="Times New Roman" w:cs="Times New Roman"/>
          <w:sz w:val="24"/>
          <w:szCs w:val="24"/>
          <w:lang w:eastAsia="tr-TR"/>
        </w:rPr>
        <w:t xml:space="preserve"> sona ermesiyle sonuçlanan cinayetin failleri hala tespit edilememiştir.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34.  Bu saldırıdan bir gün sonra, güvenlik güçleri ile PKK arasındaki silahlı çatışmalar tekrar başlamıştır. PKK liderleri halkı silahlanmaya ve silahlı çatışmalarda kullanılmak için yeraltı sistemleri ve tüneller kurmaya çağırmıştır.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35.  28 Temmuz 2015 tarihinde Cumhurbaşkanı basın açıklamasında HDP liderlerinin terör eylemlerinin “bedelini” ödeyeceğini söylemiştir. Açıklamanın ilgili bölümleri şöyledir: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Ben parti kapatılması olayını doğru bulmuyorum. Fakat bu partinin yöneticilerinin bu işin bedelini ödemeleri gerekir diyorum. Fert </w:t>
      </w:r>
      <w:proofErr w:type="spellStart"/>
      <w:r w:rsidRPr="003D5488">
        <w:rPr>
          <w:rFonts w:ascii="Times New Roman" w:eastAsia="Times New Roman" w:hAnsi="Times New Roman" w:cs="Times New Roman"/>
          <w:i/>
          <w:iCs/>
          <w:szCs w:val="24"/>
          <w:lang w:eastAsia="tr-TR"/>
        </w:rPr>
        <w:t>fert</w:t>
      </w:r>
      <w:proofErr w:type="spellEnd"/>
      <w:r w:rsidRPr="003D5488">
        <w:rPr>
          <w:rFonts w:ascii="Times New Roman" w:eastAsia="Times New Roman" w:hAnsi="Times New Roman" w:cs="Times New Roman"/>
          <w:i/>
          <w:iCs/>
          <w:szCs w:val="24"/>
          <w:lang w:eastAsia="tr-TR"/>
        </w:rPr>
        <w:t xml:space="preserve">, birey </w:t>
      </w:r>
      <w:proofErr w:type="spellStart"/>
      <w:r w:rsidRPr="003D5488">
        <w:rPr>
          <w:rFonts w:ascii="Times New Roman" w:eastAsia="Times New Roman" w:hAnsi="Times New Roman" w:cs="Times New Roman"/>
          <w:i/>
          <w:iCs/>
          <w:szCs w:val="24"/>
          <w:lang w:eastAsia="tr-TR"/>
        </w:rPr>
        <w:t>birey</w:t>
      </w:r>
      <w:proofErr w:type="spellEnd"/>
      <w:r w:rsidRPr="003D5488">
        <w:rPr>
          <w:rFonts w:ascii="Times New Roman" w:eastAsia="Times New Roman" w:hAnsi="Times New Roman" w:cs="Times New Roman"/>
          <w:i/>
          <w:iCs/>
          <w:szCs w:val="24"/>
          <w:lang w:eastAsia="tr-TR"/>
        </w:rPr>
        <w:t>.</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0" w:name="discoursdanslegroupeparlementairedu2807"/>
      <w:r w:rsidRPr="003D5488">
        <w:rPr>
          <w:rFonts w:ascii="Times New Roman" w:eastAsia="Times New Roman" w:hAnsi="Times New Roman" w:cs="Times New Roman"/>
          <w:sz w:val="24"/>
          <w:szCs w:val="24"/>
          <w:lang w:eastAsia="tr-TR"/>
        </w:rPr>
        <w:t>36</w:t>
      </w:r>
      <w:bookmarkEnd w:id="10"/>
      <w:r w:rsidRPr="003D5488">
        <w:rPr>
          <w:rFonts w:ascii="Times New Roman" w:eastAsia="Times New Roman" w:hAnsi="Times New Roman" w:cs="Times New Roman"/>
          <w:sz w:val="24"/>
          <w:szCs w:val="24"/>
          <w:lang w:eastAsia="tr-TR"/>
        </w:rPr>
        <w:t xml:space="preserve">.  Aynı gün başvurucu partisinin grup toplantısında bu konuşmayı yapmıştır: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 </w:t>
      </w: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Biz, ne dağdakinin, ne askerdekinin, ne polisin öldürülmesine izin vermeyeceğiz, hiçbirini normal karşılamayacağız. Onlar bedel ödemesin. Biz bedel ödemek için halkımızdan yetki aldık, bize bunun için oy verdiler. Ne bedel ödenecekse, biz hazırız. Ama bizimle mücadele edenler de, bize düşmanlık yapanlar da en az bizim kadar cesur olmalılar. Yoksa kaybederler, kaybedecekler. Bunu hep birlikte göreceğiz. Onlar bu direniş karşısında yenilecekler. Türkiye’nin barış duygusu kazanacak. Türkiye’nin özgür yarınları, özgür geleceği kazanacak. Yeter ki, nasıl bir HDP ilkesi etrafında birleştiğimizi tek bir dakika bile unutmayalım</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37.  10 ve 19 Ağustos 2015 arasında Türkiye’nin çoğu güney doğu bölgesinde olan 19 farklı şehrinde özyönetim ilan edilmiştir.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38.  PKK gençlik kolu olarak kabul edilen YDG-H üyeleri, aralarında Cizre, Sur, Silopi, İdil ve Nusaybin’in de olduğu Türkiye’nin doğu ve güney doğusunda yer alan bazı şehirlerde güvenlik güçlerinin girişlerini engellemek amacıyla hendek kazmış ve barikat kurmuştur. Güvenlik güçlerine göre, YDG-H üyeleri bölgeye çok sayıda silah ve patlayıcı getirmiştir.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39.  Ağustos 2015’te, vali ve kaymakamlar güney doğudaki bazı şehirlerde sokağa çıkma yasağı ilan etmiştir. Bu tedbirin amacı, terör örgütü </w:t>
      </w:r>
      <w:r w:rsidRPr="003D5488">
        <w:rPr>
          <w:rFonts w:ascii="Times New Roman" w:eastAsia="Times New Roman" w:hAnsi="Times New Roman" w:cs="Times New Roman"/>
          <w:sz w:val="24"/>
          <w:szCs w:val="24"/>
          <w:lang w:eastAsia="tr-TR"/>
        </w:rPr>
        <w:lastRenderedPageBreak/>
        <w:t xml:space="preserve">üyeleri tarafından kazanılan hendeklerin temizlenmesi, gömülen patlayıcıların kaldırılması ve sivillerin şiddet eylemlerine karşı korunması olarak açıklanmıştır. Güvenlik güçleri, ağır silahlar kullanarak, sokağa çıkma yasağı ilan edilen bölgelerde operasyonlar düzenlemiştir.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40.  19 Ağustos 2015 tarihinde Siirt’te PKK tarafından gerçekleştirilen terör saldırısı sonucunda sekiz asker hayatını kaybetmiştir.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41.  6 ve 8 Eylül 2015 tarihinde PKK tarafından düzenlenen iki terör saldırısında on altı asker ve on üç polis öldürülmüştür.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42.  </w:t>
      </w:r>
      <w:proofErr w:type="spellStart"/>
      <w:r w:rsidRPr="003D5488">
        <w:rPr>
          <w:rFonts w:ascii="Times New Roman" w:eastAsia="Times New Roman" w:hAnsi="Times New Roman" w:cs="Times New Roman"/>
          <w:sz w:val="24"/>
          <w:szCs w:val="24"/>
          <w:lang w:eastAsia="tr-TR"/>
        </w:rPr>
        <w:t>Sur’da</w:t>
      </w:r>
      <w:proofErr w:type="spellEnd"/>
      <w:r w:rsidRPr="003D5488">
        <w:rPr>
          <w:rFonts w:ascii="Times New Roman" w:eastAsia="Times New Roman" w:hAnsi="Times New Roman" w:cs="Times New Roman"/>
          <w:sz w:val="24"/>
          <w:szCs w:val="24"/>
          <w:lang w:eastAsia="tr-TR"/>
        </w:rPr>
        <w:t xml:space="preserve"> sokağa çıkma yasağı ilan edilmesinin ardından başvurucu, 13 Eylül 2015 tarihinde Lice’de basın açıklaması yapmış ve şunları söylemiştir: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Halkımız atananların değil seçilmişlerin yetkili olduğu kendi meclisleri ile belediye ile kendini yönetmek istiyor. Halkımız her yerde baskı politikalarına katliam politikalarına karşı direnebilecek güçtedir. Bütün saldırılara karşı kendimizi koruyacak gücümüz var. Çaresiz olmadığımızı gösteriyoruz, birlikte direneceğiz, kendi ana vatanımızı da tarihimizi de unutmadan haklarımızı da savunarak hep birlikte kurtuluşa gideceğiz.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43.  10 Ekim 2015 tarihinde, Ankara’da IŞİD tarafından Türkiye tarihinin en ölümcül saldırıcı olarak kabul edilen bir terör saldırısı gerçekleştirilmiştir. 100’den fazla insan ölmüş, 50’den fazla insan yaralanmıştır. Mağdurların büyük bir çoğunluğu, aralarında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de olduğu çok sayıda sivil toplum kuruluşunun şiddete karşı memnuniyetsizliğini ifade etme çağrısına cevap vermek üzere eyleme katılan kişilerdi.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44. Koalisyon hükümeti kurulması için yapılan görüşmelerin başarısızlıkla sonuçlanmasının ardından 1 Kasım 2015 tarihinde erken seçime gidilmiş, HDP oyların %10.76’sını almıştır. AKP seçimi ve Meclis’te çoğunluğu kazanmıştır. </w:t>
      </w:r>
    </w:p>
    <w:p w:rsidR="00812749" w:rsidRPr="003D5488" w:rsidRDefault="00812749" w:rsidP="00393B35">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45. Başvurucu, 18 Aralık 2015 tarihli basın a</w:t>
      </w:r>
      <w:r w:rsidR="00393B35" w:rsidRPr="003D5488">
        <w:rPr>
          <w:rFonts w:ascii="Times New Roman" w:eastAsia="Times New Roman" w:hAnsi="Times New Roman" w:cs="Times New Roman"/>
          <w:sz w:val="24"/>
          <w:szCs w:val="24"/>
          <w:lang w:eastAsia="tr-TR"/>
        </w:rPr>
        <w:t xml:space="preserve">çıklamasında şunu söylemiştir: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 xml:space="preserve"> “</w:t>
      </w:r>
      <w:r w:rsidRPr="003D5488">
        <w:rPr>
          <w:rFonts w:ascii="Times New Roman" w:eastAsia="Times New Roman" w:hAnsi="Times New Roman" w:cs="Times New Roman"/>
          <w:i/>
          <w:iCs/>
          <w:szCs w:val="24"/>
          <w:lang w:eastAsia="tr-TR"/>
        </w:rPr>
        <w:t>Bugün operasyon yaptığınız her yerde korku ve panik havası değil coşku havası </w:t>
      </w:r>
      <w:r w:rsidR="00DA1D16">
        <w:rPr>
          <w:rFonts w:ascii="Times New Roman" w:eastAsia="Times New Roman" w:hAnsi="Times New Roman" w:cs="Times New Roman"/>
          <w:i/>
          <w:iCs/>
          <w:szCs w:val="24"/>
          <w:lang w:eastAsia="tr-TR"/>
        </w:rPr>
        <w:t>hâkim</w:t>
      </w:r>
      <w:r w:rsidRPr="003D5488">
        <w:rPr>
          <w:rFonts w:ascii="Times New Roman" w:eastAsia="Times New Roman" w:hAnsi="Times New Roman" w:cs="Times New Roman"/>
          <w:i/>
          <w:iCs/>
          <w:szCs w:val="24"/>
          <w:lang w:eastAsia="tr-TR"/>
        </w:rPr>
        <w:t xml:space="preserve">. Neden biliyor musunuz? O insanlar daha ilk günden kazandıklarından o kadar eminler ki. Onurlu, şerefli, </w:t>
      </w:r>
      <w:proofErr w:type="spellStart"/>
      <w:r w:rsidRPr="003D5488">
        <w:rPr>
          <w:rFonts w:ascii="Times New Roman" w:eastAsia="Times New Roman" w:hAnsi="Times New Roman" w:cs="Times New Roman"/>
          <w:i/>
          <w:iCs/>
          <w:szCs w:val="24"/>
          <w:lang w:eastAsia="tr-TR"/>
        </w:rPr>
        <w:t>haysiyetki</w:t>
      </w:r>
      <w:proofErr w:type="spellEnd"/>
      <w:r w:rsidRPr="003D5488">
        <w:rPr>
          <w:rFonts w:ascii="Times New Roman" w:eastAsia="Times New Roman" w:hAnsi="Times New Roman" w:cs="Times New Roman"/>
          <w:i/>
          <w:iCs/>
          <w:szCs w:val="24"/>
          <w:lang w:eastAsia="tr-TR"/>
        </w:rPr>
        <w:t xml:space="preserve"> bir davanın savunucularıdır. Bir kez daha zulmün, faşizmin kazanmasına izin vermeyeceğiz, bu direniş kazanacaktır. Öyle hendek, çukur diye küçümsemeye çalışanlar da dönüp tarihe baksınlar. On milyonlarca kahraman, yiğit bu darbeye karşı direnen insan var. Sen halka karşı savaş açmışsın. Halk her yerde direnir, direnecektir. Önümüzdeki </w:t>
      </w:r>
      <w:proofErr w:type="spellStart"/>
      <w:r w:rsidRPr="003D5488">
        <w:rPr>
          <w:rFonts w:ascii="Times New Roman" w:eastAsia="Times New Roman" w:hAnsi="Times New Roman" w:cs="Times New Roman"/>
          <w:i/>
          <w:iCs/>
          <w:szCs w:val="24"/>
          <w:lang w:eastAsia="tr-TR"/>
        </w:rPr>
        <w:t>haftasonu</w:t>
      </w:r>
      <w:proofErr w:type="spellEnd"/>
      <w:r w:rsidRPr="003D5488">
        <w:rPr>
          <w:rFonts w:ascii="Times New Roman" w:eastAsia="Times New Roman" w:hAnsi="Times New Roman" w:cs="Times New Roman"/>
          <w:i/>
          <w:iCs/>
          <w:szCs w:val="24"/>
          <w:lang w:eastAsia="tr-TR"/>
        </w:rPr>
        <w:t xml:space="preserve"> 26-27 Aralık’ta </w:t>
      </w:r>
      <w:r w:rsidRPr="003D5488">
        <w:rPr>
          <w:rFonts w:ascii="Times New Roman" w:eastAsia="Times New Roman" w:hAnsi="Times New Roman" w:cs="Times New Roman"/>
          <w:i/>
          <w:iCs/>
          <w:szCs w:val="24"/>
          <w:lang w:eastAsia="tr-TR"/>
        </w:rPr>
        <w:lastRenderedPageBreak/>
        <w:t xml:space="preserve">Diyarbakır’da Demokratik Toplum Kongresi’nin olağanüstü kongresine bizler de katılacağız. Öz yönetimin, özerkliğin inşası ve içinin doldurulması </w:t>
      </w:r>
      <w:proofErr w:type="spellStart"/>
      <w:r w:rsidRPr="003D5488">
        <w:rPr>
          <w:rFonts w:ascii="Times New Roman" w:eastAsia="Times New Roman" w:hAnsi="Times New Roman" w:cs="Times New Roman"/>
          <w:i/>
          <w:iCs/>
          <w:szCs w:val="24"/>
          <w:lang w:eastAsia="tr-TR"/>
        </w:rPr>
        <w:t>sürecinn</w:t>
      </w:r>
      <w:proofErr w:type="spellEnd"/>
      <w:r w:rsidRPr="003D5488">
        <w:rPr>
          <w:rFonts w:ascii="Times New Roman" w:eastAsia="Times New Roman" w:hAnsi="Times New Roman" w:cs="Times New Roman"/>
          <w:i/>
          <w:iCs/>
          <w:szCs w:val="24"/>
          <w:lang w:eastAsia="tr-TR"/>
        </w:rPr>
        <w:t xml:space="preserve"> siyasi zeminde daha güçlü yönetilmesi için çok yoğun tartışmalar yapacağız, önemli kararlar alacağız. Bunların hepsini hayata geçireceğiz.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1" w:name="discoursdu22décembre2015"/>
      <w:r w:rsidRPr="003D5488">
        <w:rPr>
          <w:rFonts w:ascii="Times New Roman" w:eastAsia="Times New Roman" w:hAnsi="Times New Roman" w:cs="Times New Roman"/>
          <w:sz w:val="24"/>
          <w:szCs w:val="24"/>
          <w:lang w:eastAsia="tr-TR"/>
        </w:rPr>
        <w:t>46</w:t>
      </w:r>
      <w:bookmarkEnd w:id="11"/>
      <w:r w:rsidRPr="003D5488">
        <w:rPr>
          <w:rFonts w:ascii="Times New Roman" w:eastAsia="Times New Roman" w:hAnsi="Times New Roman" w:cs="Times New Roman"/>
          <w:sz w:val="24"/>
          <w:szCs w:val="24"/>
          <w:lang w:eastAsia="tr-TR"/>
        </w:rPr>
        <w:t xml:space="preserve">.  Başvurucu, 22 Aralık 2015 tarihinde Meclis’te yaptığı konuşmada şunları dile getirmiştir: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Saraybosna’ya bakın. 4 yıl boyunca Saraybosna’da bir kuşatma yaşandı, 4 yıl. Mahalle mahalle ablukaya aldılar. Ne yaptı oradaki insanlar? Bugün övgüyle, coşkuyla, kahramanlık öyküsüyle anlattığımız Saraybosna’da o katliam, soykırım politikalarına karşı ne yaptı insanlar; hendek kazdılar, barikat kurdular, perde astılar keskin nişancılar vurmasın diye, yeraltına tüneller kazdılar ablukayı kırmak için, kendilerine yemek ve su bulabilmek için yeraltından ulaşım sağlamaya çalıştılar. Aynı şeyi bugün Davutoğlu kendi ülkesinde ilçelere dayatıyor. Askeri operasyonlar son bulsa, polis operasyonları son bulsa, şu sokağa çıkma yasakları kaldırılsa, « özyönetim nedir, özerklik nedir, bunu bir dinleyelim, gelin, müzakere edelim » dese bir hükümet, ne kaybedecek ?</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47.  26 Aralık 2015 tarihinde başvurucu, Demokratik Toplum Kongresi toplantısına katılmıştır. Burada, özyönetimi ve direnişi savunan bir konuşma yapmıştır. Başvurucu, Ankara’daki yetkililerin katliam planlarına karşı barikatların kurulduğunu ve hendeklerin kazıldığını söylemiştir. Demokratik Toplum Kongresi’nin sonuç bildirisi, özerk bölgelerin kurulması çağrısını da içermişti.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48.  29 Aralık 2015 tarihinde Cumhurbaşkanı basın açıklamasında başvurucunun açıklamasının “açık bir </w:t>
      </w:r>
      <w:proofErr w:type="spellStart"/>
      <w:r w:rsidRPr="003D5488">
        <w:rPr>
          <w:rFonts w:ascii="Times New Roman" w:eastAsia="Times New Roman" w:hAnsi="Times New Roman" w:cs="Times New Roman"/>
          <w:sz w:val="24"/>
          <w:szCs w:val="24"/>
          <w:lang w:eastAsia="tr-TR"/>
        </w:rPr>
        <w:t>provakasyon</w:t>
      </w:r>
      <w:proofErr w:type="spellEnd"/>
      <w:r w:rsidRPr="003D5488">
        <w:rPr>
          <w:rFonts w:ascii="Times New Roman" w:eastAsia="Times New Roman" w:hAnsi="Times New Roman" w:cs="Times New Roman"/>
          <w:sz w:val="24"/>
          <w:szCs w:val="24"/>
          <w:lang w:eastAsia="tr-TR"/>
        </w:rPr>
        <w:t xml:space="preserve"> ve ihanet” olduğunu söylemiştir.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2" w:name="declarationdu2janvier2016"/>
      <w:r w:rsidRPr="003D5488">
        <w:rPr>
          <w:rFonts w:ascii="Times New Roman" w:eastAsia="Times New Roman" w:hAnsi="Times New Roman" w:cs="Times New Roman"/>
          <w:sz w:val="24"/>
          <w:szCs w:val="24"/>
          <w:lang w:eastAsia="tr-TR"/>
        </w:rPr>
        <w:t>49</w:t>
      </w:r>
      <w:bookmarkEnd w:id="12"/>
      <w:r w:rsidRPr="003D5488">
        <w:rPr>
          <w:rFonts w:ascii="Times New Roman" w:eastAsia="Times New Roman" w:hAnsi="Times New Roman" w:cs="Times New Roman"/>
          <w:sz w:val="24"/>
          <w:szCs w:val="24"/>
          <w:lang w:eastAsia="tr-TR"/>
        </w:rPr>
        <w:t xml:space="preserve">.  Cumhurbaşkanı, 2 Ocak 2016 tarihli basın açıklamasında şunları söylemiştir: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İki </w:t>
      </w:r>
      <w:proofErr w:type="spellStart"/>
      <w:r w:rsidRPr="003D5488">
        <w:rPr>
          <w:rFonts w:ascii="Times New Roman" w:eastAsia="Times New Roman" w:hAnsi="Times New Roman" w:cs="Times New Roman"/>
          <w:i/>
          <w:iCs/>
          <w:szCs w:val="24"/>
          <w:lang w:eastAsia="tr-TR"/>
        </w:rPr>
        <w:t>eşbaşkanın</w:t>
      </w:r>
      <w:proofErr w:type="spellEnd"/>
      <w:r w:rsidRPr="003D5488">
        <w:rPr>
          <w:rFonts w:ascii="Times New Roman" w:eastAsia="Times New Roman" w:hAnsi="Times New Roman" w:cs="Times New Roman"/>
          <w:i/>
          <w:iCs/>
          <w:szCs w:val="24"/>
          <w:lang w:eastAsia="tr-TR"/>
        </w:rPr>
        <w:t xml:space="preserve"> yaptığı açıklamalar kesinlikle anayasa suçu. Haklarında cumhuriyet başsavcılıklarının başlattıkları süreçler var. Bu konular takip edilmeli. Parti kapatma olayı gündeme dahi gelmemeli. Ama suçu </w:t>
      </w:r>
      <w:proofErr w:type="gramStart"/>
      <w:r w:rsidRPr="003D5488">
        <w:rPr>
          <w:rFonts w:ascii="Times New Roman" w:eastAsia="Times New Roman" w:hAnsi="Times New Roman" w:cs="Times New Roman"/>
          <w:i/>
          <w:iCs/>
          <w:szCs w:val="24"/>
          <w:lang w:eastAsia="tr-TR"/>
        </w:rPr>
        <w:t>irtikap</w:t>
      </w:r>
      <w:proofErr w:type="gramEnd"/>
      <w:r w:rsidRPr="003D5488">
        <w:rPr>
          <w:rFonts w:ascii="Times New Roman" w:eastAsia="Times New Roman" w:hAnsi="Times New Roman" w:cs="Times New Roman"/>
          <w:i/>
          <w:iCs/>
          <w:szCs w:val="24"/>
          <w:lang w:eastAsia="tr-TR"/>
        </w:rPr>
        <w:t xml:space="preserve"> eden milletvekili, belediye başkanı veya başkaları olabilir. Bunlar bunun bedelini ödemek durumundadır. Diyarbakır ve Ankara başsavcılıklarının başlattığı soruşturmaları da bu çerçevede değerlendirmek lazım. Dokunulmazlıklarının kaldırılması suretiyle başlayacak süreç, inanıyorum ki terörle mücadele açısından ülkemizdeki havayı da olumlu yönde etkileyecektir. Ülkeyi parçalayıp bölmeye yönelik mesajları kabul etmemiz mümkün değil. Devlet içinde devleti kabul etmemiz asla mümkün değil. Bunlara karşı gerekli cevabın verilmesi, müeyyide uygulanması, yargı mekanizmasının devreye </w:t>
      </w:r>
      <w:r w:rsidRPr="003D5488">
        <w:rPr>
          <w:rFonts w:ascii="Times New Roman" w:eastAsia="Times New Roman" w:hAnsi="Times New Roman" w:cs="Times New Roman"/>
          <w:i/>
          <w:iCs/>
          <w:szCs w:val="24"/>
          <w:lang w:eastAsia="tr-TR"/>
        </w:rPr>
        <w:lastRenderedPageBreak/>
        <w:t>girmesi suretiyle atılması gereken adımlar var. Meclis’te 160’ı aşkın dosyaları var. Bunlar gözden geçirildiği zaman neyi kapsıyor, masaya yatırılacak ve ona göre adım atılacaktır</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3" w:name="discoursdu12janvier2016"/>
      <w:r w:rsidRPr="003D5488">
        <w:rPr>
          <w:rFonts w:ascii="Times New Roman" w:eastAsia="Times New Roman" w:hAnsi="Times New Roman" w:cs="Times New Roman"/>
          <w:sz w:val="24"/>
          <w:szCs w:val="24"/>
          <w:lang w:eastAsia="tr-TR"/>
        </w:rPr>
        <w:t>50</w:t>
      </w:r>
      <w:bookmarkEnd w:id="13"/>
      <w:r w:rsidRPr="003D5488">
        <w:rPr>
          <w:rFonts w:ascii="Times New Roman" w:eastAsia="Times New Roman" w:hAnsi="Times New Roman" w:cs="Times New Roman"/>
          <w:sz w:val="24"/>
          <w:szCs w:val="24"/>
          <w:lang w:eastAsia="tr-TR"/>
        </w:rPr>
        <w:t>.  12 Ocak 2016 tarihinde başvurucu, partisinin Meclis’teki grup toplantısında konuşma yaparak bir kez daha özyönetimi ve “direnişleri” savunmuştur. Konuşmanın ilgili bölümleri:</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İnanın ki değerli arkadaşlar, bizim arzu ettiğimiz yerel yönetimlere yetki devri de yapılsa, sadece </w:t>
      </w:r>
      <w:proofErr w:type="spellStart"/>
      <w:r w:rsidRPr="003D5488">
        <w:rPr>
          <w:rFonts w:ascii="Times New Roman" w:eastAsia="Times New Roman" w:hAnsi="Times New Roman" w:cs="Times New Roman"/>
          <w:i/>
          <w:iCs/>
          <w:szCs w:val="24"/>
          <w:lang w:eastAsia="tr-TR"/>
        </w:rPr>
        <w:t>HDP’li</w:t>
      </w:r>
      <w:proofErr w:type="spellEnd"/>
      <w:r w:rsidRPr="003D5488">
        <w:rPr>
          <w:rFonts w:ascii="Times New Roman" w:eastAsia="Times New Roman" w:hAnsi="Times New Roman" w:cs="Times New Roman"/>
          <w:i/>
          <w:iCs/>
          <w:szCs w:val="24"/>
          <w:lang w:eastAsia="tr-TR"/>
        </w:rPr>
        <w:t xml:space="preserve"> belediye değil, AKP’li belediyeler de dahi iyi çalışacak, MHP’li belediyeler de, CHP’li belediyeler de daha iyi çalışacak. Biz yerel yönetimler daha iyi çalışsın istiyoruz, ülke bölünsün, parçalansın değil. Yerelde yetki olsun, kendi kararlarını, bütçelerini, uygulamalarını yaparken, halkın denetimine açık, şeffaf, güçlü yerel yönetimler olsun istiyoruz; özyönetim dediğimiz budur, özerklik dediğimiz budur. İnşallah ülkemiz bir gün o yönetim modeline kavuşacak, diktatörlüğe değil diyorum. Bu hafta içerisinde hem milletvekili arkadaşlarıma, hem bütün Parti görevlilerine, çalışanlarımıza ben başarılar diliyorum. Cizre’ye, Silopi’ye, </w:t>
      </w:r>
      <w:proofErr w:type="spellStart"/>
      <w:r w:rsidRPr="003D5488">
        <w:rPr>
          <w:rFonts w:ascii="Times New Roman" w:eastAsia="Times New Roman" w:hAnsi="Times New Roman" w:cs="Times New Roman"/>
          <w:i/>
          <w:iCs/>
          <w:szCs w:val="24"/>
          <w:lang w:eastAsia="tr-TR"/>
        </w:rPr>
        <w:t>Sur’a</w:t>
      </w:r>
      <w:proofErr w:type="spellEnd"/>
      <w:r w:rsidRPr="003D5488">
        <w:rPr>
          <w:rFonts w:ascii="Times New Roman" w:eastAsia="Times New Roman" w:hAnsi="Times New Roman" w:cs="Times New Roman"/>
          <w:i/>
          <w:iCs/>
          <w:szCs w:val="24"/>
          <w:lang w:eastAsia="tr-TR"/>
        </w:rPr>
        <w:t> da, bütün halkımıza, direnen bütün arkadaşlarımıza da buradan bir kez daha sevgi, selamlarımızı iletiyorum</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4" w:name="discoursdu9fevrier2016"/>
      <w:r w:rsidRPr="003D5488">
        <w:rPr>
          <w:rFonts w:ascii="Times New Roman" w:eastAsia="Times New Roman" w:hAnsi="Times New Roman" w:cs="Times New Roman"/>
          <w:sz w:val="24"/>
          <w:szCs w:val="24"/>
          <w:lang w:eastAsia="tr-TR"/>
        </w:rPr>
        <w:t>51</w:t>
      </w:r>
      <w:bookmarkEnd w:id="14"/>
      <w:r w:rsidRPr="003D5488">
        <w:rPr>
          <w:rFonts w:ascii="Times New Roman" w:eastAsia="Times New Roman" w:hAnsi="Times New Roman" w:cs="Times New Roman"/>
          <w:sz w:val="24"/>
          <w:szCs w:val="24"/>
          <w:lang w:eastAsia="tr-TR"/>
        </w:rPr>
        <w:t xml:space="preserve">.  9 Şubat 2016 tarihinde başvurucunun partisinin Meclis’teki grup konuşmasında yaptığı açıklama şu şekildedir: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 </w:t>
      </w: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Cizre’ye, </w:t>
      </w:r>
      <w:proofErr w:type="spellStart"/>
      <w:r w:rsidRPr="003D5488">
        <w:rPr>
          <w:rFonts w:ascii="Times New Roman" w:eastAsia="Times New Roman" w:hAnsi="Times New Roman" w:cs="Times New Roman"/>
          <w:i/>
          <w:iCs/>
          <w:szCs w:val="24"/>
          <w:lang w:eastAsia="tr-TR"/>
        </w:rPr>
        <w:t>Sur’a</w:t>
      </w:r>
      <w:proofErr w:type="spellEnd"/>
      <w:r w:rsidRPr="003D5488">
        <w:rPr>
          <w:rFonts w:ascii="Times New Roman" w:eastAsia="Times New Roman" w:hAnsi="Times New Roman" w:cs="Times New Roman"/>
          <w:i/>
          <w:iCs/>
          <w:szCs w:val="24"/>
          <w:lang w:eastAsia="tr-TR"/>
        </w:rPr>
        <w:t xml:space="preserve"> ve yaşanan bütün bu vahşete sessiz kalmak işte bu AKP’nin kutuplaştırıcı, ayrıştırıcı ve iç savaşı giderek tetikleyen politikalarına teslim olmak demektir. Biz buna itiraz ettiğimiz için yollardayız, yürüyüşlerdeyiz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5" w:name="discoursdu23fevrier2016"/>
      <w:r w:rsidRPr="003D5488">
        <w:rPr>
          <w:rFonts w:ascii="Times New Roman" w:eastAsia="Times New Roman" w:hAnsi="Times New Roman" w:cs="Times New Roman"/>
          <w:sz w:val="24"/>
          <w:szCs w:val="24"/>
          <w:lang w:eastAsia="tr-TR"/>
        </w:rPr>
        <w:t>52</w:t>
      </w:r>
      <w:bookmarkEnd w:id="15"/>
      <w:r w:rsidRPr="003D5488">
        <w:rPr>
          <w:rFonts w:ascii="Times New Roman" w:eastAsia="Times New Roman" w:hAnsi="Times New Roman" w:cs="Times New Roman"/>
          <w:sz w:val="24"/>
          <w:szCs w:val="24"/>
          <w:lang w:eastAsia="tr-TR"/>
        </w:rPr>
        <w:t>. 23 Şubat 2016 tarihinde başvurucunun partisinin Meclis’teki grup konuşmasında yaptığı açıklamanın ilgili bölümleri şu şekildedir: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 xml:space="preserve">Örneğin siz, Cizre’de üç-beş gün sonra sokağa çıkma yasağını kaldırdığınızda, Kürt sorunu çözülmüş mü olacak? </w:t>
      </w:r>
      <w:proofErr w:type="spellStart"/>
      <w:r w:rsidRPr="003D5488">
        <w:rPr>
          <w:rFonts w:ascii="Times New Roman" w:eastAsia="Times New Roman" w:hAnsi="Times New Roman" w:cs="Times New Roman"/>
          <w:i/>
          <w:iCs/>
          <w:szCs w:val="24"/>
          <w:lang w:eastAsia="tr-TR"/>
        </w:rPr>
        <w:t>Sur’da</w:t>
      </w:r>
      <w:proofErr w:type="spellEnd"/>
      <w:r w:rsidRPr="003D5488">
        <w:rPr>
          <w:rFonts w:ascii="Times New Roman" w:eastAsia="Times New Roman" w:hAnsi="Times New Roman" w:cs="Times New Roman"/>
          <w:i/>
          <w:iCs/>
          <w:szCs w:val="24"/>
          <w:lang w:eastAsia="tr-TR"/>
        </w:rPr>
        <w:t xml:space="preserve"> şu anda sıkıştırmaya çalıştığınız 200’e yakın sivil, kadın, çoluk çocuk, direnişti, onları katlettiğinizde örneğin, Cizre’deki gibi yapıp, cenazelerine bile benzin döküp, “Aileleri tanıyamasın, cenaze törenleri bile yapılamasın” barbarlığıyla yaklaştığınız uygulamalarla sonuç aldığınızda Kürt sorunu çözülmüş mü olacak ?</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53. 26 Mart 2016 tarihinde yaptığı konuşmasında başvurucu, gayri meşru bulduğu savaş ile kendisine göre iktidar olanların faşist uygulamalarına karşı meşru bir cevap olan direniş arasında bir ayrım yapmıştır. </w:t>
      </w:r>
      <w:bookmarkStart w:id="16" w:name="discoursparlementairedu4octobre2016"/>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54</w:t>
      </w:r>
      <w:bookmarkEnd w:id="16"/>
      <w:r w:rsidRPr="003D5488">
        <w:rPr>
          <w:rFonts w:ascii="Times New Roman" w:eastAsia="Times New Roman" w:hAnsi="Times New Roman" w:cs="Times New Roman"/>
          <w:sz w:val="24"/>
          <w:szCs w:val="24"/>
          <w:lang w:eastAsia="tr-TR"/>
        </w:rPr>
        <w:t xml:space="preserve">.  4 Ekim 2016 tarihinde başvurucu partisinin Meclis’teki grup toplantısında şu konuşmayı yapmıştır: </w:t>
      </w:r>
    </w:p>
    <w:p w:rsidR="00F03D80" w:rsidRPr="003D5488" w:rsidRDefault="00812749" w:rsidP="00DA1D16">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lastRenderedPageBreak/>
        <w:t xml:space="preserve"> “</w:t>
      </w:r>
      <w:r w:rsidRPr="003D5488">
        <w:rPr>
          <w:rFonts w:ascii="Times New Roman" w:eastAsia="Times New Roman" w:hAnsi="Times New Roman" w:cs="Times New Roman"/>
          <w:i/>
          <w:iCs/>
          <w:szCs w:val="24"/>
          <w:lang w:eastAsia="tr-TR"/>
        </w:rPr>
        <w:t>Tekrar çağırıyorum. Sokak meşrudur. Zulme karşı direniş meşrudur, haktır. Sana meşrudur da, bize meşru değil mi? 15 Temmuz darbesine karşı sokağa çıkana meşrudur da, kayyuma karşı, vekil tutuklanırsa sokağa çıkacaklar gayrimeşru mudur? Herkesin iradesi saygındır. Halk demokratik tepkisini her yerde barışçıl çerçevede gösterme hakkını, hukukuna sahiptir ve asla vazgeçmeyeceğiz. Aman aman, bunlar, « efendim sokak tehlikelidir » falan filan diyecekler, kanmayın bunlara. Sokak demokrasinin en meşru alanlarından biridir</w:t>
      </w:r>
      <w:r w:rsidR="00511D68" w:rsidRPr="003D5488">
        <w:rPr>
          <w:rFonts w:ascii="Times New Roman" w:eastAsia="Times New Roman" w:hAnsi="Times New Roman" w:cs="Times New Roman"/>
          <w:szCs w:val="24"/>
          <w:lang w:eastAsia="tr-TR"/>
        </w:rPr>
        <w:t>.”</w:t>
      </w:r>
    </w:p>
    <w:p w:rsidR="00F03D80" w:rsidRPr="003D5488" w:rsidRDefault="00F03D80" w:rsidP="00511D68">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p>
    <w:p w:rsidR="00812749" w:rsidRPr="003D5488" w:rsidRDefault="00812749" w:rsidP="00511D68">
      <w:pPr>
        <w:pStyle w:val="Balk1"/>
        <w:rPr>
          <w:color w:val="auto"/>
        </w:rPr>
      </w:pPr>
      <w:r w:rsidRPr="003D5488">
        <w:rPr>
          <w:color w:val="auto"/>
        </w:rPr>
        <w:t xml:space="preserve">Dokunulmazlıkların kaldırılmasına ilişkin anayasa değişikliği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55.  16 Mart 2016 tarihinde Cumhurbaşkanı muhtarlara bir konuşma yapmıştır. Konuşmasının ilgili bölümleri şöyledir: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 xml:space="preserve"> “</w:t>
      </w:r>
      <w:r w:rsidRPr="003D5488">
        <w:rPr>
          <w:rFonts w:ascii="Times New Roman" w:eastAsia="Times New Roman" w:hAnsi="Times New Roman" w:cs="Times New Roman"/>
          <w:i/>
          <w:iCs/>
          <w:szCs w:val="24"/>
          <w:lang w:eastAsia="tr-TR"/>
        </w:rPr>
        <w:t xml:space="preserve">Dokunulmazlıklar meselesini süratle neticelendirmeliyiz. Parlamento adımını süratle atmalıdır. Bir kişi mi olsun, iki kişi mi? Biz ortaya ilkeyi koymalıyız. Nedir bu ilke? Benim Kürt kardeşlerimi sokağa dökerek 52 kişinin ölümüne yol açan kişiler yargılanmayacak da parlamentoda boy gösterecek, arkasında PKK’nin, </w:t>
      </w:r>
      <w:proofErr w:type="spellStart"/>
      <w:r w:rsidRPr="003D5488">
        <w:rPr>
          <w:rFonts w:ascii="Times New Roman" w:eastAsia="Times New Roman" w:hAnsi="Times New Roman" w:cs="Times New Roman"/>
          <w:i/>
          <w:iCs/>
          <w:szCs w:val="24"/>
          <w:lang w:eastAsia="tr-TR"/>
        </w:rPr>
        <w:t>PYD’nin</w:t>
      </w:r>
      <w:proofErr w:type="spellEnd"/>
      <w:r w:rsidRPr="003D5488">
        <w:rPr>
          <w:rFonts w:ascii="Times New Roman" w:eastAsia="Times New Roman" w:hAnsi="Times New Roman" w:cs="Times New Roman"/>
          <w:i/>
          <w:iCs/>
          <w:szCs w:val="24"/>
          <w:lang w:eastAsia="tr-TR"/>
        </w:rPr>
        <w:t xml:space="preserve">, </w:t>
      </w:r>
      <w:proofErr w:type="spellStart"/>
      <w:r w:rsidRPr="003D5488">
        <w:rPr>
          <w:rFonts w:ascii="Times New Roman" w:eastAsia="Times New Roman" w:hAnsi="Times New Roman" w:cs="Times New Roman"/>
          <w:i/>
          <w:iCs/>
          <w:szCs w:val="24"/>
          <w:lang w:eastAsia="tr-TR"/>
        </w:rPr>
        <w:t>YPG’nin</w:t>
      </w:r>
      <w:proofErr w:type="spellEnd"/>
      <w:r w:rsidRPr="003D5488">
        <w:rPr>
          <w:rFonts w:ascii="Times New Roman" w:eastAsia="Times New Roman" w:hAnsi="Times New Roman" w:cs="Times New Roman"/>
          <w:i/>
          <w:iCs/>
          <w:szCs w:val="24"/>
          <w:lang w:eastAsia="tr-TR"/>
        </w:rPr>
        <w:t xml:space="preserve"> olduğunu söyleyenler temiz olacak öyle mi? Parlamento gereğini yapmazsa, bu millet, tarih bu parlamentodan hesabını sorar.</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7" w:name="explanatorymemorandumontheconstituti"/>
      <w:r w:rsidRPr="003D5488">
        <w:rPr>
          <w:rFonts w:ascii="Times New Roman" w:eastAsia="Times New Roman" w:hAnsi="Times New Roman" w:cs="Times New Roman"/>
          <w:sz w:val="24"/>
          <w:szCs w:val="24"/>
          <w:lang w:eastAsia="tr-TR"/>
        </w:rPr>
        <w:t>56</w:t>
      </w:r>
      <w:bookmarkEnd w:id="17"/>
      <w:r w:rsidRPr="003D5488">
        <w:rPr>
          <w:rFonts w:ascii="Times New Roman" w:eastAsia="Times New Roman" w:hAnsi="Times New Roman" w:cs="Times New Roman"/>
          <w:sz w:val="24"/>
          <w:szCs w:val="24"/>
          <w:lang w:eastAsia="tr-TR"/>
        </w:rPr>
        <w:t xml:space="preserve">.  22 Mayıs 2016 tarihinde Meclis, 1982 Anayasası’na geçici bir madde eklenmesine ilişkin anayasa değişikliğini kabul etmiştir. Bu değişikliğin ardından, Anayasa’nın 83. maddesinin 2. paragrafında düzenlenen yasama dokunulmazlığının, söz konusu değişikliğin kabul edilmesinden önce dokunulmazlıkların kaldırılması talebiyle Meclis’e gelen bütün dosyalar için kaldırılmasına karar verilmiştir. Anayasa değişikliğinin gerekçesinin ilgili bölümleri şöyledir: </w:t>
      </w:r>
    </w:p>
    <w:p w:rsidR="00812749" w:rsidRPr="003D5488" w:rsidRDefault="00812749" w:rsidP="00812749">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w:t>
      </w:r>
      <w:r w:rsidRPr="003D5488">
        <w:rPr>
          <w:rFonts w:ascii="Times New Roman" w:eastAsia="Times New Roman" w:hAnsi="Times New Roman" w:cs="Times New Roman"/>
          <w:i/>
          <w:iCs/>
          <w:szCs w:val="24"/>
          <w:lang w:eastAsia="tr-TR"/>
        </w:rPr>
        <w:t>Türkiye, tarihinin en büyük ve en kapsamlı, terörle mücadelesini yürütürken, bazı milletvekillerinin seçilmeden önce ya da seçildikten sonra yapmış oldukları teröre manevi ve moral destek manasındaki açıklamaları, bazı milletvekillerinin teröre ve teröristlere fiili manada destek ve yardımları, bazı milletvekillerinin ise şiddet çağrıları kamuoyunda büyük infial meydana getirmektedir. Türkiye kamuoyu milletvekillerinden, her şeyden önce, terörü ve teröristi destekleyen, şiddete çağrı yapan milletvekillerinin dokunulmazlığı istismar ettiğini düşünmekte, bu tür fiilleri olanların yargılanmasına Meclis tarafından izin verilmesini talep etmektedir. Böyle bir talep karşısında, Meclis’in sessiz kalması düşünülemez</w:t>
      </w:r>
      <w:r w:rsidRPr="003D5488">
        <w:rPr>
          <w:rFonts w:ascii="Times New Roman" w:eastAsia="Times New Roman" w:hAnsi="Times New Roman" w:cs="Times New Roman"/>
          <w:szCs w:val="24"/>
          <w:lang w:eastAsia="tr-TR"/>
        </w:rPr>
        <w:t>.”</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 xml:space="preserve">57.  Anayasa değişikliği, o dönemki 550 milletvekilinden 154’ünü etkilemiştir. Bu 154 kişinin 59’u CHP, 55’i HDP, 29’u AKP, 10’u MHP ve biri bağımsız milletvekilidir.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58.  Farklı tarihlerde, başvurucunun da olduğu 14 HDP milletvekili ve bir CHP milletvekili ceza soruşturmaları kapsamında tutuklanmıştır.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59.  Bilinmeyen bir tarihte, 70 milletvekili anayasa değişikliğinin incelenmesi için Anayasa Mahkemesi’ne başvurmuştur.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60.  Anayasa Mahkemesi, 3 Haziran 2016 tarihli ve 2016/117 numaralı kararında, başvuruyu oy birliği ile reddetmiştir.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61.  8 Haziran 2016 tarihinde Anayasa değişikliği Resmi </w:t>
      </w:r>
      <w:proofErr w:type="spellStart"/>
      <w:r w:rsidRPr="003D5488">
        <w:rPr>
          <w:rFonts w:ascii="Times New Roman" w:eastAsia="Times New Roman" w:hAnsi="Times New Roman" w:cs="Times New Roman"/>
          <w:sz w:val="24"/>
          <w:szCs w:val="24"/>
          <w:lang w:eastAsia="tr-TR"/>
        </w:rPr>
        <w:t>Gazete’de</w:t>
      </w:r>
      <w:proofErr w:type="spellEnd"/>
      <w:r w:rsidRPr="003D5488">
        <w:rPr>
          <w:rFonts w:ascii="Times New Roman" w:eastAsia="Times New Roman" w:hAnsi="Times New Roman" w:cs="Times New Roman"/>
          <w:sz w:val="24"/>
          <w:szCs w:val="24"/>
          <w:lang w:eastAsia="tr-TR"/>
        </w:rPr>
        <w:t xml:space="preserve"> yayımlanmış ve aynı gün yürürlüğe girmiştir. </w:t>
      </w:r>
    </w:p>
    <w:p w:rsidR="00812749" w:rsidRPr="003D5488" w:rsidRDefault="00812749" w:rsidP="00812749">
      <w:pPr>
        <w:shd w:val="clear" w:color="auto" w:fill="FFFFFF"/>
        <w:spacing w:after="0" w:line="276" w:lineRule="auto"/>
        <w:jc w:val="both"/>
        <w:rPr>
          <w:rFonts w:ascii="Times New Roman" w:eastAsia="Times New Roman" w:hAnsi="Times New Roman" w:cs="Times New Roman"/>
          <w:sz w:val="24"/>
          <w:szCs w:val="24"/>
          <w:lang w:eastAsia="tr-TR"/>
        </w:rPr>
      </w:pPr>
    </w:p>
    <w:p w:rsidR="00812749" w:rsidRPr="003D5488" w:rsidRDefault="00812749" w:rsidP="00F03D80">
      <w:pPr>
        <w:pStyle w:val="Balk1"/>
        <w:rPr>
          <w:color w:val="auto"/>
        </w:rPr>
      </w:pPr>
      <w:r w:rsidRPr="003D5488">
        <w:rPr>
          <w:color w:val="auto"/>
        </w:rPr>
        <w:t xml:space="preserve">Başvurucunun tutukluluğu ve soruşturma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62.  Başvurucunun milletvekilliği yapığı dönemde, başvurucu hakkında soruşturma makamları tarafından büyük bir çoğunluğu terörle ilgili suçlara ilişkin 93 fezleke hazırlanmıştır. Savcılar, başvurucunun dokunulmazlığının kaldırılması için Meclis’e başvurmuştur. Bu fezlekelerin 45 tanesi 2007-2014 yılları arasında hazırlanmıştır. 2015 ve 2016 yıllarında, toplamda 47 fezleke Meclis’e sunulmuştur.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63.  Dokunulmazlıkları kaldıran anayasa değişikliğinin yürürlüğe girmesinin ardından (bakınız 56. paragraf), Diyarbakır savcılığı, başvurucu hakkında hazırlanan 39 ayrı ceza soruşturmasını tek bir dosyada birleştirmiştir. </w:t>
      </w:r>
      <w:proofErr w:type="gramStart"/>
      <w:r w:rsidRPr="003D5488">
        <w:rPr>
          <w:rFonts w:ascii="Times New Roman" w:eastAsia="Times New Roman" w:hAnsi="Times New Roman" w:cs="Times New Roman"/>
          <w:sz w:val="24"/>
          <w:szCs w:val="24"/>
          <w:lang w:eastAsia="tr-TR"/>
        </w:rPr>
        <w:t>Halihazırda</w:t>
      </w:r>
      <w:proofErr w:type="gramEnd"/>
      <w:r w:rsidRPr="003D5488">
        <w:rPr>
          <w:rFonts w:ascii="Times New Roman" w:eastAsia="Times New Roman" w:hAnsi="Times New Roman" w:cs="Times New Roman"/>
          <w:sz w:val="24"/>
          <w:szCs w:val="24"/>
          <w:lang w:eastAsia="tr-TR"/>
        </w:rPr>
        <w:t xml:space="preserve"> yerel mahkemeler önünde başvurucu hakkında yedi ayrı ceza davası devam etmektedir. Ancak, söz konusu soruşturmalar ve kovuşturmalar bu başvurunun konusunu oluşturmamaktadır. Bu başvuruda bahsedilen bütün “ceza soruşturmaları” Diyarbakır Cumhuriyet Başsavcılığı tarafından yürütülen soruşturmayla ilgili olacaktır.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64.  Temmuz – Ekim 2016 arasında yetkili savcılar, başvurucuya altı ayrı davet yollamıştır. Ancak başvurucu, soruşturma makamlarının huzuruna çıkmamış ve Nisan 2016’da partisinin grup toplantısında yaptığı konuşmada </w:t>
      </w:r>
      <w:proofErr w:type="spellStart"/>
      <w:r w:rsidRPr="003D5488">
        <w:rPr>
          <w:rFonts w:ascii="Times New Roman" w:eastAsia="Times New Roman" w:hAnsi="Times New Roman" w:cs="Times New Roman"/>
          <w:sz w:val="24"/>
          <w:szCs w:val="24"/>
          <w:lang w:eastAsia="tr-TR"/>
        </w:rPr>
        <w:t>HDP’li</w:t>
      </w:r>
      <w:proofErr w:type="spellEnd"/>
      <w:r w:rsidRPr="003D5488">
        <w:rPr>
          <w:rFonts w:ascii="Times New Roman" w:eastAsia="Times New Roman" w:hAnsi="Times New Roman" w:cs="Times New Roman"/>
          <w:sz w:val="24"/>
          <w:szCs w:val="24"/>
          <w:lang w:eastAsia="tr-TR"/>
        </w:rPr>
        <w:t xml:space="preserve"> milletvekillerinin gönüllü olarak savcılığa ifade vermeye gitmeyeceğini söylemiştir.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65.  9 Eylül 2016 tarihinde Diyarbakır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liği, soruşturma dosyasına kısıtlama kararı getirmiş, başvurucunun belirsiz bir tarihte bu karara karşı yaptığı itiraz, 19 Kasım 2016 tarihinde reddedilmiştir.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66.  3 Kasım 2016 tarihinde, savcılığın talebi üzerine, Diyarbakır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liği başvurucunun evinin aranmasına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 xml:space="preserve">67.  4 Kasım 2016 tarihinde, güvenlik güçleri başvurucunun da olduğu 12 HDP milletvekiline operasyon düzenleyerek, milletvekillerini yakalamış ve gözaltına almıştır.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68.  Aynı gün başvurucu, üç avukatı eşliğinde Diyarbakır savcılığının karşısına çıkmıştır. Başvurucu, yakalanıp gözaltına alınmasının siyasi faaliyetleri nedeniyle Cumhurbaşkanı’nın emriyle olduğunu söylemiş ve kendisine yöneltilen suçlamalar hakkında cevap vermeyi reddetmiştir. </w:t>
      </w:r>
      <w:bookmarkStart w:id="18" w:name="prosecutoraskingfordetention"/>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69</w:t>
      </w:r>
      <w:bookmarkEnd w:id="18"/>
      <w:r w:rsidRPr="003D5488">
        <w:rPr>
          <w:rFonts w:ascii="Times New Roman" w:eastAsia="Times New Roman" w:hAnsi="Times New Roman" w:cs="Times New Roman"/>
          <w:sz w:val="24"/>
          <w:szCs w:val="24"/>
          <w:lang w:eastAsia="tr-TR"/>
        </w:rPr>
        <w:t xml:space="preserve">.  Diyarbakır savcılığı, Diyarbakır 2. Sulh Ceza Mahkemesi’nden başvurucunun silahlı terör örgütü üyeliğinden (Türk Ceza Kanunu’nun 314. maddesi) ve halkı kin ve düşmanlığa tahrik etmekten (Türk Ceza Kanunu’nun 214. maddesi) tutuklanmasını talep 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19" w:name="ordonnanceinitialededetention"/>
      <w:r w:rsidRPr="003D5488">
        <w:rPr>
          <w:rFonts w:ascii="Times New Roman" w:eastAsia="Times New Roman" w:hAnsi="Times New Roman" w:cs="Times New Roman"/>
          <w:sz w:val="24"/>
          <w:szCs w:val="24"/>
          <w:lang w:eastAsia="tr-TR"/>
        </w:rPr>
        <w:t>70</w:t>
      </w:r>
      <w:bookmarkEnd w:id="19"/>
      <w:r w:rsidRPr="003D5488">
        <w:rPr>
          <w:rFonts w:ascii="Times New Roman" w:eastAsia="Times New Roman" w:hAnsi="Times New Roman" w:cs="Times New Roman"/>
          <w:sz w:val="24"/>
          <w:szCs w:val="24"/>
          <w:lang w:eastAsia="tr-TR"/>
        </w:rPr>
        <w:t xml:space="preserve">.  Aynı gün, başvurucu Diyarbakır 2. Sulh Ceza </w:t>
      </w:r>
      <w:proofErr w:type="spellStart"/>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liği’ne</w:t>
      </w:r>
      <w:proofErr w:type="spellEnd"/>
      <w:r w:rsidRPr="003D5488">
        <w:rPr>
          <w:rFonts w:ascii="Times New Roman" w:eastAsia="Times New Roman" w:hAnsi="Times New Roman" w:cs="Times New Roman"/>
          <w:sz w:val="24"/>
          <w:szCs w:val="24"/>
          <w:lang w:eastAsia="tr-TR"/>
        </w:rPr>
        <w:t xml:space="preserve"> çıkartılmıştır. Başvurucunun avukatı, Anayasa’nın 83. </w:t>
      </w:r>
      <w:proofErr w:type="spellStart"/>
      <w:r w:rsidRPr="003D5488">
        <w:rPr>
          <w:rFonts w:ascii="Times New Roman" w:eastAsia="Times New Roman" w:hAnsi="Times New Roman" w:cs="Times New Roman"/>
          <w:sz w:val="24"/>
          <w:szCs w:val="24"/>
          <w:lang w:eastAsia="tr-TR"/>
        </w:rPr>
        <w:t>maddeside</w:t>
      </w:r>
      <w:proofErr w:type="spellEnd"/>
      <w:r w:rsidRPr="003D5488">
        <w:rPr>
          <w:rFonts w:ascii="Times New Roman" w:eastAsia="Times New Roman" w:hAnsi="Times New Roman" w:cs="Times New Roman"/>
          <w:sz w:val="24"/>
          <w:szCs w:val="24"/>
          <w:lang w:eastAsia="tr-TR"/>
        </w:rPr>
        <w:t xml:space="preserve"> düzenlenen dokunulmazlık gereği başvurucunun bir ceza soruşturmasına tabi tutulamayacağını ve özgürlüğünden alıkonulamayacağını belirtmiştir. Başvurucunun avukatının beyanlarını aldıktan sonra,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liği, başvurucunun tutuklanmasına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71.  Aynı gün, diğer sekiz HDP milletvekili farklı şehirlerdeki farklı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ler tarafından tutuklanmıştır.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72.  8 Kasım 2016 tarihinde başvurucu, tutuklama kararına itiraz 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73. Diyarbakır 3.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liği, 11 Kasım 2016 </w:t>
      </w:r>
      <w:proofErr w:type="spellStart"/>
      <w:r w:rsidRPr="003D5488">
        <w:rPr>
          <w:rFonts w:ascii="Times New Roman" w:eastAsia="Times New Roman" w:hAnsi="Times New Roman" w:cs="Times New Roman"/>
          <w:sz w:val="24"/>
          <w:szCs w:val="24"/>
          <w:lang w:eastAsia="tr-TR"/>
        </w:rPr>
        <w:t>tarhinde</w:t>
      </w:r>
      <w:proofErr w:type="spellEnd"/>
      <w:r w:rsidRPr="003D5488">
        <w:rPr>
          <w:rFonts w:ascii="Times New Roman" w:eastAsia="Times New Roman" w:hAnsi="Times New Roman" w:cs="Times New Roman"/>
          <w:sz w:val="24"/>
          <w:szCs w:val="24"/>
          <w:lang w:eastAsia="tr-TR"/>
        </w:rPr>
        <w:t xml:space="preserve"> itirazı reddetmiştir. Kararda başvurucunun silahlı terör örgüt üyesi olma ve halkı suç işlemeye tahrik etme suçlarından tutuklandığı belirtilmiştir.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74.  1 Aralık 2016 tarihinde Diyarbakır 2.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liği, dosya üzerinden olağan tutukluluk incelemesini yapmıştır.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Ceza Muhakemesi Kanunu’nun 100. maddesindeki gerekçelere dayanarak başvurucunun tutukluluk halinin devamına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75. 5 Aralık 2016 tarihinde başvurucu, tutuk itirazında ve tahliye talebinde bulunmuştur.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76.  Diyarbakır 1. Sulh Ceza </w:t>
      </w:r>
      <w:proofErr w:type="spellStart"/>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liği’nin</w:t>
      </w:r>
      <w:proofErr w:type="spellEnd"/>
      <w:r w:rsidRPr="003D5488">
        <w:rPr>
          <w:rFonts w:ascii="Times New Roman" w:eastAsia="Times New Roman" w:hAnsi="Times New Roman" w:cs="Times New Roman"/>
          <w:sz w:val="24"/>
          <w:szCs w:val="24"/>
          <w:lang w:eastAsia="tr-TR"/>
        </w:rPr>
        <w:t xml:space="preserve"> 6 Aralık 2016 tarihli kararıyla başvurucunun itirazı reddedilmiş, kararda bu kez sadece örgüt üyesi olma suçuna dayanılmıştır.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20" w:name="recoursdu12decembre2016contreladetention"/>
      <w:r w:rsidRPr="003D5488">
        <w:rPr>
          <w:rFonts w:ascii="Times New Roman" w:eastAsia="Times New Roman" w:hAnsi="Times New Roman" w:cs="Times New Roman"/>
          <w:sz w:val="24"/>
          <w:szCs w:val="24"/>
          <w:lang w:eastAsia="tr-TR"/>
        </w:rPr>
        <w:t>77</w:t>
      </w:r>
      <w:bookmarkEnd w:id="20"/>
      <w:r w:rsidRPr="003D5488">
        <w:rPr>
          <w:rFonts w:ascii="Times New Roman" w:eastAsia="Times New Roman" w:hAnsi="Times New Roman" w:cs="Times New Roman"/>
          <w:sz w:val="24"/>
          <w:szCs w:val="24"/>
          <w:lang w:eastAsia="tr-TR"/>
        </w:rPr>
        <w:t>.  12 Aralık 2016 tarihinde başvurucu, bir kez daha, Anayasa’nın 83. maddesine dayanarak tutuk itirazından bulunmuştur. Bilinmeyen bir ta</w:t>
      </w:r>
      <w:bookmarkStart w:id="21" w:name="infractionsacteaccusation"/>
      <w:r w:rsidRPr="003D5488">
        <w:rPr>
          <w:rFonts w:ascii="Times New Roman" w:eastAsia="Times New Roman" w:hAnsi="Times New Roman" w:cs="Times New Roman"/>
          <w:sz w:val="24"/>
          <w:szCs w:val="24"/>
          <w:lang w:eastAsia="tr-TR"/>
        </w:rPr>
        <w:t>rihte bu itiraz reddedilmiştir.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78</w:t>
      </w:r>
      <w:bookmarkEnd w:id="21"/>
      <w:r w:rsidRPr="003D5488">
        <w:rPr>
          <w:rFonts w:ascii="Times New Roman" w:eastAsia="Times New Roman" w:hAnsi="Times New Roman" w:cs="Times New Roman"/>
          <w:sz w:val="24"/>
          <w:szCs w:val="24"/>
          <w:lang w:eastAsia="tr-TR"/>
        </w:rPr>
        <w:t xml:space="preserve">. 11 Ocak 2017 tarihinde savcılık, ekleri hariç 501 sayfa olan iddianameyi Diyarbakır Ağır Ceza Mahkemesi’ne sunmuştur. </w:t>
      </w:r>
      <w:proofErr w:type="gramStart"/>
      <w:r w:rsidRPr="003D5488">
        <w:rPr>
          <w:rFonts w:ascii="Times New Roman" w:eastAsia="Times New Roman" w:hAnsi="Times New Roman" w:cs="Times New Roman"/>
          <w:sz w:val="24"/>
          <w:szCs w:val="24"/>
          <w:lang w:eastAsia="tr-TR"/>
        </w:rPr>
        <w:t xml:space="preserve">İddianamede başvurucu, silahlı terör örgütü kurma ya da yönetme (Türk Ceza </w:t>
      </w:r>
      <w:r w:rsidRPr="003D5488">
        <w:rPr>
          <w:rFonts w:ascii="Times New Roman" w:eastAsia="Times New Roman" w:hAnsi="Times New Roman" w:cs="Times New Roman"/>
          <w:sz w:val="24"/>
          <w:szCs w:val="24"/>
          <w:lang w:eastAsia="tr-TR"/>
        </w:rPr>
        <w:lastRenderedPageBreak/>
        <w:t xml:space="preserve">Kanunu’nun 314. maddesi), terör örgütünün propagandasını yapma (15 kez – Terörle Mücadele Kanunu’nun 7. maddesinin 2. fıkrası), suç işlemeye tahrik etme (Türk Ceza Kanunu’nun 214. maddesi), suçu ve suçluyu övme (4 kez – Türk Ceza Kanunu’nun 215. maddesi), halkı kin ve düşmanlığa tahrik etme (2 kez – Türk Ceza Kanunu’nun 216. maddesi), kanunlara uymamaya tahrik (Türk Ceza Kanunu’nun 217. maddesi), kanuna aykırı toplantı ve gösterilere katılma ve organize etme (2911 sayılı Kanun) ve güvenlik güçlerinin gösterinin dağıtılması emrine uymama (2911 sayılı Kanun) suçlarıyla suçlanmıştır. </w:t>
      </w:r>
      <w:proofErr w:type="gramEnd"/>
      <w:r w:rsidRPr="003D5488">
        <w:rPr>
          <w:rFonts w:ascii="Times New Roman" w:eastAsia="Times New Roman" w:hAnsi="Times New Roman" w:cs="Times New Roman"/>
          <w:sz w:val="24"/>
          <w:szCs w:val="24"/>
          <w:lang w:eastAsia="tr-TR"/>
        </w:rPr>
        <w:t xml:space="preserve">Savcı, başvurucunun 43 yıldan 142 yıla kadar hapsini istemiştir.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22" w:name="lesaccusationsportees"/>
      <w:r w:rsidRPr="003D5488">
        <w:rPr>
          <w:rFonts w:ascii="Times New Roman" w:eastAsia="Times New Roman" w:hAnsi="Times New Roman" w:cs="Times New Roman"/>
          <w:sz w:val="24"/>
          <w:szCs w:val="24"/>
          <w:lang w:eastAsia="tr-TR"/>
        </w:rPr>
        <w:t>79</w:t>
      </w:r>
      <w:bookmarkEnd w:id="22"/>
      <w:r w:rsidRPr="003D5488">
        <w:rPr>
          <w:rFonts w:ascii="Times New Roman" w:eastAsia="Times New Roman" w:hAnsi="Times New Roman" w:cs="Times New Roman"/>
          <w:sz w:val="24"/>
          <w:szCs w:val="24"/>
          <w:lang w:eastAsia="tr-TR"/>
        </w:rPr>
        <w:t xml:space="preserve">.  Savcılık tarafından başvurucuya isnat edilen suçlamalar aşağıdaki gibi özetlenebilir: </w:t>
      </w:r>
    </w:p>
    <w:p w:rsidR="00812749" w:rsidRPr="003D5488" w:rsidRDefault="00812749" w:rsidP="00724F6F">
      <w:pPr>
        <w:numPr>
          <w:ilvl w:val="0"/>
          <w:numId w:val="8"/>
        </w:numPr>
        <w:spacing w:after="0" w:line="276" w:lineRule="auto"/>
        <w:ind w:left="720" w:hanging="437"/>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Başvurucu, 27 Ekim 2012 tarihinde BDP binasında yaptığı bir konuşmada PPK liderinin tutuklanmasını protesto etmek amacı ile insanları </w:t>
      </w:r>
      <w:proofErr w:type="gramStart"/>
      <w:r w:rsidRPr="003D5488">
        <w:rPr>
          <w:rFonts w:ascii="Times New Roman" w:hAnsi="Times New Roman" w:cs="Times New Roman"/>
          <w:sz w:val="24"/>
          <w:szCs w:val="24"/>
        </w:rPr>
        <w:t>dükkanlarını</w:t>
      </w:r>
      <w:proofErr w:type="gramEnd"/>
      <w:r w:rsidRPr="003D5488">
        <w:rPr>
          <w:rFonts w:ascii="Times New Roman" w:hAnsi="Times New Roman" w:cs="Times New Roman"/>
          <w:sz w:val="24"/>
          <w:szCs w:val="24"/>
        </w:rPr>
        <w:t xml:space="preserve"> kapamaya ve çocuklarını okula göndermemeye teşvik ederek propaganda yapmıştır. </w:t>
      </w:r>
    </w:p>
    <w:p w:rsidR="00812749" w:rsidRPr="003D5488" w:rsidRDefault="00812749" w:rsidP="00724F6F">
      <w:pPr>
        <w:numPr>
          <w:ilvl w:val="0"/>
          <w:numId w:val="8"/>
        </w:numPr>
        <w:spacing w:after="0" w:line="276" w:lineRule="auto"/>
        <w:ind w:left="720" w:hanging="437"/>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13 Kasım 2012 tarihinde Nusaybin ve Kızıltepe’de PKK liderinin tutuklanmasını protesto amacıyla iki gösteri yapılmış, Kızıltepe’de yapılan gösteride başvurucu şu yorumları yapmıştır: </w:t>
      </w:r>
    </w:p>
    <w:p w:rsidR="00812749" w:rsidRPr="003D5488" w:rsidRDefault="00812749" w:rsidP="00F91E6F">
      <w:pPr>
        <w:spacing w:line="276" w:lineRule="auto"/>
        <w:ind w:left="720"/>
        <w:contextualSpacing/>
        <w:jc w:val="both"/>
        <w:rPr>
          <w:rFonts w:ascii="Times New Roman" w:hAnsi="Times New Roman" w:cs="Times New Roman"/>
          <w:sz w:val="24"/>
          <w:szCs w:val="24"/>
        </w:rPr>
      </w:pPr>
      <w:r w:rsidRPr="003D5488">
        <w:rPr>
          <w:rFonts w:ascii="Times New Roman" w:hAnsi="Times New Roman" w:cs="Times New Roman"/>
          <w:sz w:val="24"/>
          <w:szCs w:val="24"/>
        </w:rPr>
        <w:t>“</w:t>
      </w:r>
      <w:proofErr w:type="spellStart"/>
      <w:r w:rsidRPr="003D5488">
        <w:rPr>
          <w:rFonts w:ascii="Times New Roman" w:hAnsi="Times New Roman" w:cs="Times New Roman"/>
          <w:sz w:val="24"/>
          <w:szCs w:val="24"/>
        </w:rPr>
        <w:t>Demişler</w:t>
      </w:r>
      <w:proofErr w:type="spellEnd"/>
      <w:r w:rsidRPr="003D5488">
        <w:rPr>
          <w:rFonts w:ascii="Times New Roman" w:hAnsi="Times New Roman" w:cs="Times New Roman"/>
          <w:sz w:val="24"/>
          <w:szCs w:val="24"/>
        </w:rPr>
        <w:t xml:space="preserve"> ki </w:t>
      </w:r>
      <w:proofErr w:type="spellStart"/>
      <w:r w:rsidRPr="003D5488">
        <w:rPr>
          <w:rFonts w:ascii="Times New Roman" w:hAnsi="Times New Roman" w:cs="Times New Roman"/>
          <w:sz w:val="24"/>
          <w:szCs w:val="24"/>
        </w:rPr>
        <w:t>Öcalan</w:t>
      </w:r>
      <w:proofErr w:type="spellEnd"/>
      <w:r w:rsidRPr="003D5488">
        <w:rPr>
          <w:rFonts w:ascii="Times New Roman" w:hAnsi="Times New Roman" w:cs="Times New Roman"/>
          <w:sz w:val="24"/>
          <w:szCs w:val="24"/>
        </w:rPr>
        <w:t xml:space="preserve"> posteri asamazsınız. Onu diyenlere </w:t>
      </w:r>
      <w:proofErr w:type="spellStart"/>
      <w:r w:rsidRPr="003D5488">
        <w:rPr>
          <w:rFonts w:ascii="Times New Roman" w:hAnsi="Times New Roman" w:cs="Times New Roman"/>
          <w:sz w:val="24"/>
          <w:szCs w:val="24"/>
        </w:rPr>
        <w:t>açıkça</w:t>
      </w:r>
      <w:proofErr w:type="spellEnd"/>
      <w:r w:rsidRPr="003D5488">
        <w:rPr>
          <w:rFonts w:ascii="Times New Roman" w:hAnsi="Times New Roman" w:cs="Times New Roman"/>
          <w:sz w:val="24"/>
          <w:szCs w:val="24"/>
        </w:rPr>
        <w:t xml:space="preserve"> sesleniyorum... Biz </w:t>
      </w:r>
      <w:proofErr w:type="spellStart"/>
      <w:r w:rsidRPr="003D5488">
        <w:rPr>
          <w:rFonts w:ascii="Times New Roman" w:hAnsi="Times New Roman" w:cs="Times New Roman"/>
          <w:sz w:val="24"/>
          <w:szCs w:val="24"/>
        </w:rPr>
        <w:t>başkan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Apo’nun</w:t>
      </w:r>
      <w:proofErr w:type="spellEnd"/>
      <w:r w:rsidRPr="003D5488">
        <w:rPr>
          <w:rFonts w:ascii="Times New Roman" w:hAnsi="Times New Roman" w:cs="Times New Roman"/>
          <w:sz w:val="24"/>
          <w:szCs w:val="24"/>
        </w:rPr>
        <w:t xml:space="preserve"> heykelini </w:t>
      </w:r>
      <w:proofErr w:type="spellStart"/>
      <w:r w:rsidRPr="003D5488">
        <w:rPr>
          <w:rFonts w:ascii="Times New Roman" w:hAnsi="Times New Roman" w:cs="Times New Roman"/>
          <w:sz w:val="24"/>
          <w:szCs w:val="24"/>
        </w:rPr>
        <w:t>dikeceğiz</w:t>
      </w:r>
      <w:proofErr w:type="spellEnd"/>
      <w:r w:rsidRPr="003D5488">
        <w:rPr>
          <w:rFonts w:ascii="Times New Roman" w:hAnsi="Times New Roman" w:cs="Times New Roman"/>
          <w:sz w:val="24"/>
          <w:szCs w:val="24"/>
        </w:rPr>
        <w:t xml:space="preserve"> heykelini. </w:t>
      </w:r>
      <w:proofErr w:type="spellStart"/>
      <w:r w:rsidRPr="003D5488">
        <w:rPr>
          <w:rFonts w:ascii="Times New Roman" w:hAnsi="Times New Roman" w:cs="Times New Roman"/>
          <w:sz w:val="24"/>
          <w:szCs w:val="24"/>
        </w:rPr>
        <w:t>Kürt</w:t>
      </w:r>
      <w:proofErr w:type="spellEnd"/>
      <w:r w:rsidRPr="003D5488">
        <w:rPr>
          <w:rFonts w:ascii="Times New Roman" w:hAnsi="Times New Roman" w:cs="Times New Roman"/>
          <w:sz w:val="24"/>
          <w:szCs w:val="24"/>
        </w:rPr>
        <w:t xml:space="preserve"> halkı artık </w:t>
      </w:r>
      <w:proofErr w:type="spellStart"/>
      <w:r w:rsidRPr="003D5488">
        <w:rPr>
          <w:rFonts w:ascii="Times New Roman" w:hAnsi="Times New Roman" w:cs="Times New Roman"/>
          <w:sz w:val="24"/>
          <w:szCs w:val="24"/>
        </w:rPr>
        <w:t>ayağa</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kalkmıs</w:t>
      </w:r>
      <w:proofErr w:type="spellEnd"/>
      <w:r w:rsidRPr="003D5488">
        <w:rPr>
          <w:rFonts w:ascii="Times New Roman" w:hAnsi="Times New Roman" w:cs="Times New Roman"/>
          <w:sz w:val="24"/>
          <w:szCs w:val="24"/>
        </w:rPr>
        <w:t xml:space="preserve">̧ bir halktır. </w:t>
      </w:r>
      <w:proofErr w:type="spellStart"/>
      <w:r w:rsidRPr="003D5488">
        <w:rPr>
          <w:rFonts w:ascii="Times New Roman" w:hAnsi="Times New Roman" w:cs="Times New Roman"/>
          <w:sz w:val="24"/>
          <w:szCs w:val="24"/>
        </w:rPr>
        <w:t>Önderiyle</w:t>
      </w:r>
      <w:proofErr w:type="spellEnd"/>
      <w:r w:rsidRPr="003D5488">
        <w:rPr>
          <w:rFonts w:ascii="Times New Roman" w:hAnsi="Times New Roman" w:cs="Times New Roman"/>
          <w:sz w:val="24"/>
          <w:szCs w:val="24"/>
        </w:rPr>
        <w:t xml:space="preserve">, partisiyle, </w:t>
      </w:r>
      <w:proofErr w:type="spellStart"/>
      <w:r w:rsidRPr="003D5488">
        <w:rPr>
          <w:rFonts w:ascii="Times New Roman" w:hAnsi="Times New Roman" w:cs="Times New Roman"/>
          <w:sz w:val="24"/>
          <w:szCs w:val="24"/>
        </w:rPr>
        <w:t>seçilmişiyle</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çocuğuyla</w:t>
      </w:r>
      <w:proofErr w:type="spellEnd"/>
      <w:r w:rsidRPr="003D5488">
        <w:rPr>
          <w:rFonts w:ascii="Times New Roman" w:hAnsi="Times New Roman" w:cs="Times New Roman"/>
          <w:sz w:val="24"/>
          <w:szCs w:val="24"/>
        </w:rPr>
        <w:t xml:space="preserve">, genciyle, </w:t>
      </w:r>
      <w:proofErr w:type="spellStart"/>
      <w:r w:rsidRPr="003D5488">
        <w:rPr>
          <w:rFonts w:ascii="Times New Roman" w:hAnsi="Times New Roman" w:cs="Times New Roman"/>
          <w:sz w:val="24"/>
          <w:szCs w:val="24"/>
        </w:rPr>
        <w:t>yaşlısıyla</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Ortadoğu’nun</w:t>
      </w:r>
      <w:proofErr w:type="spellEnd"/>
      <w:r w:rsidRPr="003D5488">
        <w:rPr>
          <w:rFonts w:ascii="Times New Roman" w:hAnsi="Times New Roman" w:cs="Times New Roman"/>
          <w:sz w:val="24"/>
          <w:szCs w:val="24"/>
        </w:rPr>
        <w:t xml:space="preserve"> en </w:t>
      </w:r>
      <w:proofErr w:type="spellStart"/>
      <w:r w:rsidRPr="003D5488">
        <w:rPr>
          <w:rFonts w:ascii="Times New Roman" w:hAnsi="Times New Roman" w:cs="Times New Roman"/>
          <w:sz w:val="24"/>
          <w:szCs w:val="24"/>
        </w:rPr>
        <w:t>büyük</w:t>
      </w:r>
      <w:proofErr w:type="spellEnd"/>
      <w:r w:rsidRPr="003D5488">
        <w:rPr>
          <w:rFonts w:ascii="Times New Roman" w:hAnsi="Times New Roman" w:cs="Times New Roman"/>
          <w:sz w:val="24"/>
          <w:szCs w:val="24"/>
        </w:rPr>
        <w:t xml:space="preserve"> halklarından biridir.” İddianameye göre bu demeçler terör örgütü lehine propaganda yapma suçunu oluşturmaktadır. </w:t>
      </w:r>
    </w:p>
    <w:p w:rsidR="00812749" w:rsidRPr="003D5488" w:rsidRDefault="00812749" w:rsidP="00724F6F">
      <w:pPr>
        <w:numPr>
          <w:ilvl w:val="0"/>
          <w:numId w:val="8"/>
        </w:numPr>
        <w:spacing w:after="0" w:line="276" w:lineRule="auto"/>
        <w:ind w:left="720" w:hanging="437"/>
        <w:contextualSpacing/>
        <w:jc w:val="both"/>
        <w:rPr>
          <w:rFonts w:ascii="Times New Roman" w:hAnsi="Times New Roman" w:cs="Times New Roman"/>
          <w:sz w:val="24"/>
          <w:szCs w:val="24"/>
        </w:rPr>
      </w:pPr>
      <w:r w:rsidRPr="003D5488">
        <w:rPr>
          <w:rFonts w:ascii="Times New Roman" w:hAnsi="Times New Roman" w:cs="Times New Roman"/>
          <w:sz w:val="24"/>
          <w:szCs w:val="24"/>
        </w:rPr>
        <w:t>Başvurucu, 21 Nisan 2013 tarihinde BDP Diyarbakır il binasında yaptığı konuşmasında şunları söylemiştir: “</w:t>
      </w:r>
      <w:proofErr w:type="spellStart"/>
      <w:r w:rsidRPr="003D5488">
        <w:rPr>
          <w:rFonts w:ascii="Times New Roman" w:hAnsi="Times New Roman" w:cs="Times New Roman"/>
          <w:sz w:val="24"/>
          <w:szCs w:val="24"/>
        </w:rPr>
        <w:t>Kürt</w:t>
      </w:r>
      <w:proofErr w:type="spellEnd"/>
      <w:r w:rsidRPr="003D5488">
        <w:rPr>
          <w:rFonts w:ascii="Times New Roman" w:hAnsi="Times New Roman" w:cs="Times New Roman"/>
          <w:sz w:val="24"/>
          <w:szCs w:val="24"/>
        </w:rPr>
        <w:t xml:space="preserve"> hareketi </w:t>
      </w:r>
      <w:proofErr w:type="spellStart"/>
      <w:r w:rsidRPr="003D5488">
        <w:rPr>
          <w:rFonts w:ascii="Times New Roman" w:hAnsi="Times New Roman" w:cs="Times New Roman"/>
          <w:sz w:val="24"/>
          <w:szCs w:val="24"/>
        </w:rPr>
        <w:t>savaşı</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meşru</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müdafaa</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savaşı</w:t>
      </w:r>
      <w:proofErr w:type="spellEnd"/>
      <w:r w:rsidRPr="003D5488">
        <w:rPr>
          <w:rFonts w:ascii="Times New Roman" w:hAnsi="Times New Roman" w:cs="Times New Roman"/>
          <w:sz w:val="24"/>
          <w:szCs w:val="24"/>
        </w:rPr>
        <w:t xml:space="preserve"> olarak ele aldı. </w:t>
      </w:r>
      <w:proofErr w:type="spellStart"/>
      <w:r w:rsidRPr="003D5488">
        <w:rPr>
          <w:rFonts w:ascii="Times New Roman" w:hAnsi="Times New Roman" w:cs="Times New Roman"/>
          <w:sz w:val="24"/>
          <w:szCs w:val="24"/>
        </w:rPr>
        <w:t>Şimdi</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eğer</w:t>
      </w:r>
      <w:proofErr w:type="spellEnd"/>
      <w:r w:rsidRPr="003D5488">
        <w:rPr>
          <w:rFonts w:ascii="Times New Roman" w:hAnsi="Times New Roman" w:cs="Times New Roman"/>
          <w:sz w:val="24"/>
          <w:szCs w:val="24"/>
        </w:rPr>
        <w:t xml:space="preserve"> elinizde silah </w:t>
      </w:r>
      <w:proofErr w:type="spellStart"/>
      <w:r w:rsidRPr="003D5488">
        <w:rPr>
          <w:rFonts w:ascii="Times New Roman" w:hAnsi="Times New Roman" w:cs="Times New Roman"/>
          <w:sz w:val="24"/>
          <w:szCs w:val="24"/>
        </w:rPr>
        <w:t>dışında</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yöntemlerle</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güçle</w:t>
      </w:r>
      <w:proofErr w:type="spellEnd"/>
      <w:r w:rsidRPr="003D5488">
        <w:rPr>
          <w:rFonts w:ascii="Times New Roman" w:hAnsi="Times New Roman" w:cs="Times New Roman"/>
          <w:sz w:val="24"/>
          <w:szCs w:val="24"/>
        </w:rPr>
        <w:t xml:space="preserve">, mekanizmayla direnebilecek, </w:t>
      </w:r>
      <w:proofErr w:type="spellStart"/>
      <w:r w:rsidRPr="003D5488">
        <w:rPr>
          <w:rFonts w:ascii="Times New Roman" w:hAnsi="Times New Roman" w:cs="Times New Roman"/>
          <w:sz w:val="24"/>
          <w:szCs w:val="24"/>
        </w:rPr>
        <w:t>başarabilecek</w:t>
      </w:r>
      <w:proofErr w:type="spellEnd"/>
      <w:r w:rsidRPr="003D5488">
        <w:rPr>
          <w:rFonts w:ascii="Times New Roman" w:hAnsi="Times New Roman" w:cs="Times New Roman"/>
          <w:sz w:val="24"/>
          <w:szCs w:val="24"/>
        </w:rPr>
        <w:t xml:space="preserve"> yeteri kadar birikim varsa siz buna </w:t>
      </w:r>
      <w:proofErr w:type="spellStart"/>
      <w:r w:rsidRPr="003D5488">
        <w:rPr>
          <w:rFonts w:ascii="Times New Roman" w:hAnsi="Times New Roman" w:cs="Times New Roman"/>
          <w:sz w:val="24"/>
          <w:szCs w:val="24"/>
        </w:rPr>
        <w:t>rağmen</w:t>
      </w:r>
      <w:proofErr w:type="spellEnd"/>
      <w:r w:rsidRPr="003D5488">
        <w:rPr>
          <w:rFonts w:ascii="Times New Roman" w:hAnsi="Times New Roman" w:cs="Times New Roman"/>
          <w:sz w:val="24"/>
          <w:szCs w:val="24"/>
        </w:rPr>
        <w:t xml:space="preserve"> silahı kullanırsınız birincisi bu ahlaki olmaz ikincisi de siyasi olarak da </w:t>
      </w:r>
      <w:proofErr w:type="spellStart"/>
      <w:r w:rsidRPr="003D5488">
        <w:rPr>
          <w:rFonts w:ascii="Times New Roman" w:hAnsi="Times New Roman" w:cs="Times New Roman"/>
          <w:sz w:val="24"/>
          <w:szCs w:val="24"/>
        </w:rPr>
        <w:t>doğru</w:t>
      </w:r>
      <w:proofErr w:type="spellEnd"/>
      <w:r w:rsidRPr="003D5488">
        <w:rPr>
          <w:rFonts w:ascii="Times New Roman" w:hAnsi="Times New Roman" w:cs="Times New Roman"/>
          <w:sz w:val="24"/>
          <w:szCs w:val="24"/>
        </w:rPr>
        <w:t xml:space="preserve"> bir tercih olmaz. </w:t>
      </w:r>
      <w:proofErr w:type="spellStart"/>
      <w:r w:rsidRPr="003D5488">
        <w:rPr>
          <w:rFonts w:ascii="Times New Roman" w:hAnsi="Times New Roman" w:cs="Times New Roman"/>
          <w:sz w:val="24"/>
          <w:szCs w:val="24"/>
        </w:rPr>
        <w:t>Kürt</w:t>
      </w:r>
      <w:proofErr w:type="spellEnd"/>
      <w:r w:rsidRPr="003D5488">
        <w:rPr>
          <w:rFonts w:ascii="Times New Roman" w:hAnsi="Times New Roman" w:cs="Times New Roman"/>
          <w:sz w:val="24"/>
          <w:szCs w:val="24"/>
        </w:rPr>
        <w:t xml:space="preserve"> halkı evet </w:t>
      </w:r>
      <w:proofErr w:type="spellStart"/>
      <w:r w:rsidRPr="003D5488">
        <w:rPr>
          <w:rFonts w:ascii="Times New Roman" w:hAnsi="Times New Roman" w:cs="Times New Roman"/>
          <w:sz w:val="24"/>
          <w:szCs w:val="24"/>
        </w:rPr>
        <w:t>bugün</w:t>
      </w:r>
      <w:proofErr w:type="spellEnd"/>
      <w:r w:rsidRPr="003D5488">
        <w:rPr>
          <w:rFonts w:ascii="Times New Roman" w:hAnsi="Times New Roman" w:cs="Times New Roman"/>
          <w:sz w:val="24"/>
          <w:szCs w:val="24"/>
        </w:rPr>
        <w:t xml:space="preserve"> biz sadece </w:t>
      </w:r>
      <w:proofErr w:type="spellStart"/>
      <w:r w:rsidRPr="003D5488">
        <w:rPr>
          <w:rFonts w:ascii="Times New Roman" w:hAnsi="Times New Roman" w:cs="Times New Roman"/>
          <w:sz w:val="24"/>
          <w:szCs w:val="24"/>
        </w:rPr>
        <w:t>söylemiyoruz</w:t>
      </w:r>
      <w:proofErr w:type="spellEnd"/>
      <w:r w:rsidRPr="003D5488">
        <w:rPr>
          <w:rFonts w:ascii="Times New Roman" w:hAnsi="Times New Roman" w:cs="Times New Roman"/>
          <w:sz w:val="24"/>
          <w:szCs w:val="24"/>
        </w:rPr>
        <w:t xml:space="preserve">, bizi </w:t>
      </w:r>
      <w:proofErr w:type="spellStart"/>
      <w:r w:rsidRPr="003D5488">
        <w:rPr>
          <w:rFonts w:ascii="Times New Roman" w:hAnsi="Times New Roman" w:cs="Times New Roman"/>
          <w:sz w:val="24"/>
          <w:szCs w:val="24"/>
        </w:rPr>
        <w:t>eleştirenler</w:t>
      </w:r>
      <w:proofErr w:type="spellEnd"/>
      <w:r w:rsidRPr="003D5488">
        <w:rPr>
          <w:rFonts w:ascii="Times New Roman" w:hAnsi="Times New Roman" w:cs="Times New Roman"/>
          <w:sz w:val="24"/>
          <w:szCs w:val="24"/>
        </w:rPr>
        <w:t xml:space="preserve"> de </w:t>
      </w:r>
      <w:proofErr w:type="spellStart"/>
      <w:r w:rsidRPr="003D5488">
        <w:rPr>
          <w:rFonts w:ascii="Times New Roman" w:hAnsi="Times New Roman" w:cs="Times New Roman"/>
          <w:sz w:val="24"/>
          <w:szCs w:val="24"/>
        </w:rPr>
        <w:t>söylüyordu</w:t>
      </w:r>
      <w:proofErr w:type="spellEnd"/>
      <w:r w:rsidRPr="003D5488">
        <w:rPr>
          <w:rFonts w:ascii="Times New Roman" w:hAnsi="Times New Roman" w:cs="Times New Roman"/>
          <w:sz w:val="24"/>
          <w:szCs w:val="24"/>
        </w:rPr>
        <w:t xml:space="preserve">, PKK hareketi olmasaydı </w:t>
      </w:r>
      <w:proofErr w:type="spellStart"/>
      <w:r w:rsidRPr="003D5488">
        <w:rPr>
          <w:rFonts w:ascii="Times New Roman" w:hAnsi="Times New Roman" w:cs="Times New Roman"/>
          <w:sz w:val="24"/>
          <w:szCs w:val="24"/>
        </w:rPr>
        <w:t>bugün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Kürt</w:t>
      </w:r>
      <w:proofErr w:type="spellEnd"/>
      <w:r w:rsidRPr="003D5488">
        <w:rPr>
          <w:rFonts w:ascii="Times New Roman" w:hAnsi="Times New Roman" w:cs="Times New Roman"/>
          <w:sz w:val="24"/>
          <w:szCs w:val="24"/>
        </w:rPr>
        <w:t xml:space="preserve"> halkı diye bir </w:t>
      </w:r>
      <w:proofErr w:type="spellStart"/>
      <w:r w:rsidRPr="003D5488">
        <w:rPr>
          <w:rFonts w:ascii="Times New Roman" w:hAnsi="Times New Roman" w:cs="Times New Roman"/>
          <w:sz w:val="24"/>
          <w:szCs w:val="24"/>
        </w:rPr>
        <w:t>şey</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Türkiye</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Kürdistan’ı</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için</w:t>
      </w:r>
      <w:proofErr w:type="spellEnd"/>
      <w:r w:rsidRPr="003D5488">
        <w:rPr>
          <w:rFonts w:ascii="Times New Roman" w:hAnsi="Times New Roman" w:cs="Times New Roman"/>
          <w:sz w:val="24"/>
          <w:szCs w:val="24"/>
        </w:rPr>
        <w:t xml:space="preserve"> en azından olmayacaktı. </w:t>
      </w:r>
      <w:proofErr w:type="spellStart"/>
      <w:r w:rsidRPr="003D5488">
        <w:rPr>
          <w:rFonts w:ascii="Times New Roman" w:hAnsi="Times New Roman" w:cs="Times New Roman"/>
          <w:sz w:val="24"/>
          <w:szCs w:val="24"/>
        </w:rPr>
        <w:t>Türkiye</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Kürdistanı’nda</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Kürtlerin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varlığından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söz</w:t>
      </w:r>
      <w:proofErr w:type="spellEnd"/>
      <w:r w:rsidRPr="003D5488">
        <w:rPr>
          <w:rFonts w:ascii="Times New Roman" w:hAnsi="Times New Roman" w:cs="Times New Roman"/>
          <w:sz w:val="24"/>
          <w:szCs w:val="24"/>
        </w:rPr>
        <w:t xml:space="preserve"> edilmeyecekti. 1984 hamlesi olmasaydı, gerilla </w:t>
      </w:r>
      <w:proofErr w:type="spellStart"/>
      <w:r w:rsidRPr="003D5488">
        <w:rPr>
          <w:rFonts w:ascii="Times New Roman" w:hAnsi="Times New Roman" w:cs="Times New Roman"/>
          <w:sz w:val="24"/>
          <w:szCs w:val="24"/>
        </w:rPr>
        <w:t>savaşı</w:t>
      </w:r>
      <w:proofErr w:type="spellEnd"/>
      <w:r w:rsidRPr="003D5488">
        <w:rPr>
          <w:rFonts w:ascii="Times New Roman" w:hAnsi="Times New Roman" w:cs="Times New Roman"/>
          <w:sz w:val="24"/>
          <w:szCs w:val="24"/>
        </w:rPr>
        <w:t xml:space="preserve"> olmasıydı, kimse </w:t>
      </w:r>
      <w:proofErr w:type="spellStart"/>
      <w:r w:rsidRPr="003D5488">
        <w:rPr>
          <w:rFonts w:ascii="Times New Roman" w:hAnsi="Times New Roman" w:cs="Times New Roman"/>
          <w:sz w:val="24"/>
          <w:szCs w:val="24"/>
        </w:rPr>
        <w:t>bugün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Kürt</w:t>
      </w:r>
      <w:proofErr w:type="spellEnd"/>
      <w:r w:rsidRPr="003D5488">
        <w:rPr>
          <w:rFonts w:ascii="Times New Roman" w:hAnsi="Times New Roman" w:cs="Times New Roman"/>
          <w:sz w:val="24"/>
          <w:szCs w:val="24"/>
        </w:rPr>
        <w:t xml:space="preserve"> halkının </w:t>
      </w:r>
      <w:proofErr w:type="spellStart"/>
      <w:r w:rsidRPr="003D5488">
        <w:rPr>
          <w:rFonts w:ascii="Times New Roman" w:hAnsi="Times New Roman" w:cs="Times New Roman"/>
          <w:sz w:val="24"/>
          <w:szCs w:val="24"/>
        </w:rPr>
        <w:t>varlığından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söz</w:t>
      </w:r>
      <w:proofErr w:type="spellEnd"/>
      <w:r w:rsidRPr="003D5488">
        <w:rPr>
          <w:rFonts w:ascii="Times New Roman" w:hAnsi="Times New Roman" w:cs="Times New Roman"/>
          <w:sz w:val="24"/>
          <w:szCs w:val="24"/>
        </w:rPr>
        <w:t xml:space="preserve"> edemezdi, </w:t>
      </w:r>
      <w:proofErr w:type="spellStart"/>
      <w:r w:rsidRPr="003D5488">
        <w:rPr>
          <w:rFonts w:ascii="Times New Roman" w:hAnsi="Times New Roman" w:cs="Times New Roman"/>
          <w:sz w:val="24"/>
          <w:szCs w:val="24"/>
        </w:rPr>
        <w:t>çünku</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Kürtlerin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başka</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çaresi</w:t>
      </w:r>
      <w:proofErr w:type="spellEnd"/>
      <w:r w:rsidRPr="003D5488">
        <w:rPr>
          <w:rFonts w:ascii="Times New Roman" w:hAnsi="Times New Roman" w:cs="Times New Roman"/>
          <w:sz w:val="24"/>
          <w:szCs w:val="24"/>
        </w:rPr>
        <w:t xml:space="preserve"> yoktu. ... </w:t>
      </w:r>
      <w:proofErr w:type="spellStart"/>
      <w:r w:rsidRPr="003D5488">
        <w:rPr>
          <w:rFonts w:ascii="Times New Roman" w:hAnsi="Times New Roman" w:cs="Times New Roman"/>
          <w:sz w:val="24"/>
          <w:szCs w:val="24"/>
        </w:rPr>
        <w:t>Şemdinli’de</w:t>
      </w:r>
      <w:proofErr w:type="spellEnd"/>
      <w:r w:rsidRPr="003D5488">
        <w:rPr>
          <w:rFonts w:ascii="Times New Roman" w:hAnsi="Times New Roman" w:cs="Times New Roman"/>
          <w:sz w:val="24"/>
          <w:szCs w:val="24"/>
        </w:rPr>
        <w:t xml:space="preserve"> Eruh’ta ilk </w:t>
      </w:r>
      <w:proofErr w:type="spellStart"/>
      <w:r w:rsidRPr="003D5488">
        <w:rPr>
          <w:rFonts w:ascii="Times New Roman" w:hAnsi="Times New Roman" w:cs="Times New Roman"/>
          <w:sz w:val="24"/>
          <w:szCs w:val="24"/>
        </w:rPr>
        <w:t>direnis</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lastRenderedPageBreak/>
        <w:t>sergilendiğinde</w:t>
      </w:r>
      <w:proofErr w:type="spellEnd"/>
      <w:r w:rsidRPr="003D5488">
        <w:rPr>
          <w:rFonts w:ascii="Times New Roman" w:hAnsi="Times New Roman" w:cs="Times New Roman"/>
          <w:sz w:val="24"/>
          <w:szCs w:val="24"/>
        </w:rPr>
        <w:t xml:space="preserve"> kimse ne </w:t>
      </w:r>
      <w:proofErr w:type="spellStart"/>
      <w:r w:rsidRPr="003D5488">
        <w:rPr>
          <w:rFonts w:ascii="Times New Roman" w:hAnsi="Times New Roman" w:cs="Times New Roman"/>
          <w:sz w:val="24"/>
          <w:szCs w:val="24"/>
        </w:rPr>
        <w:t>olduğunun</w:t>
      </w:r>
      <w:proofErr w:type="spellEnd"/>
      <w:r w:rsidRPr="003D5488">
        <w:rPr>
          <w:rFonts w:ascii="Times New Roman" w:hAnsi="Times New Roman" w:cs="Times New Roman"/>
          <w:sz w:val="24"/>
          <w:szCs w:val="24"/>
        </w:rPr>
        <w:t xml:space="preserve"> farkında </w:t>
      </w:r>
      <w:proofErr w:type="spellStart"/>
      <w:r w:rsidRPr="003D5488">
        <w:rPr>
          <w:rFonts w:ascii="Times New Roman" w:hAnsi="Times New Roman" w:cs="Times New Roman"/>
          <w:sz w:val="24"/>
          <w:szCs w:val="24"/>
        </w:rPr>
        <w:t>değildi</w:t>
      </w:r>
      <w:proofErr w:type="spellEnd"/>
      <w:r w:rsidRPr="003D5488">
        <w:rPr>
          <w:rFonts w:ascii="Times New Roman" w:hAnsi="Times New Roman" w:cs="Times New Roman"/>
          <w:sz w:val="24"/>
          <w:szCs w:val="24"/>
        </w:rPr>
        <w:t xml:space="preserve"> ama o </w:t>
      </w:r>
      <w:proofErr w:type="spellStart"/>
      <w:r w:rsidRPr="003D5488">
        <w:rPr>
          <w:rFonts w:ascii="Times New Roman" w:hAnsi="Times New Roman" w:cs="Times New Roman"/>
          <w:sz w:val="24"/>
          <w:szCs w:val="24"/>
        </w:rPr>
        <w:t>direnis</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bugün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büyük</w:t>
      </w:r>
      <w:proofErr w:type="spellEnd"/>
      <w:r w:rsidRPr="003D5488">
        <w:rPr>
          <w:rFonts w:ascii="Times New Roman" w:hAnsi="Times New Roman" w:cs="Times New Roman"/>
          <w:sz w:val="24"/>
          <w:szCs w:val="24"/>
        </w:rPr>
        <w:t xml:space="preserve"> bir halk </w:t>
      </w:r>
      <w:proofErr w:type="spellStart"/>
      <w:r w:rsidRPr="003D5488">
        <w:rPr>
          <w:rFonts w:ascii="Times New Roman" w:hAnsi="Times New Roman" w:cs="Times New Roman"/>
          <w:sz w:val="24"/>
          <w:szCs w:val="24"/>
        </w:rPr>
        <w:t>gerçeği</w:t>
      </w:r>
      <w:proofErr w:type="spellEnd"/>
      <w:r w:rsidRPr="003D5488">
        <w:rPr>
          <w:rFonts w:ascii="Times New Roman" w:hAnsi="Times New Roman" w:cs="Times New Roman"/>
          <w:sz w:val="24"/>
          <w:szCs w:val="24"/>
        </w:rPr>
        <w:t xml:space="preserve"> yarattı. </w:t>
      </w:r>
      <w:proofErr w:type="spellStart"/>
      <w:r w:rsidRPr="003D5488">
        <w:rPr>
          <w:rFonts w:ascii="Times New Roman" w:hAnsi="Times New Roman" w:cs="Times New Roman"/>
          <w:sz w:val="24"/>
          <w:szCs w:val="24"/>
        </w:rPr>
        <w:t>Kimliğimizi</w:t>
      </w:r>
      <w:proofErr w:type="spellEnd"/>
      <w:r w:rsidRPr="003D5488">
        <w:rPr>
          <w:rFonts w:ascii="Times New Roman" w:hAnsi="Times New Roman" w:cs="Times New Roman"/>
          <w:sz w:val="24"/>
          <w:szCs w:val="24"/>
        </w:rPr>
        <w:t xml:space="preserve"> kazandık.” </w:t>
      </w:r>
    </w:p>
    <w:p w:rsidR="00812749" w:rsidRPr="003D5488" w:rsidRDefault="00812749" w:rsidP="00724F6F">
      <w:pPr>
        <w:numPr>
          <w:ilvl w:val="0"/>
          <w:numId w:val="8"/>
        </w:numPr>
        <w:spacing w:after="0" w:line="276" w:lineRule="auto"/>
        <w:ind w:left="720" w:hanging="437"/>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Başvurucu, öz yönetimin ilanını ve güvenlik güçlerince yürütülen operasyonları takiben söz konusu operasyonların ulusal yetkililerce yürütülmüş katliamlar olduğunu belirtmiş, PKK üyelerine atfedilen belirli davranışların birer direniş olduğunu belirtmiştir. </w:t>
      </w:r>
    </w:p>
    <w:p w:rsidR="00812749" w:rsidRPr="003D5488" w:rsidRDefault="00812749" w:rsidP="00724F6F">
      <w:pPr>
        <w:numPr>
          <w:ilvl w:val="0"/>
          <w:numId w:val="8"/>
        </w:numPr>
        <w:spacing w:after="0" w:line="276" w:lineRule="auto"/>
        <w:ind w:left="720" w:hanging="450"/>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Başvurucu, savcıya göre PKK’nın görüşleri hakkında halkın farkındalığını arttırmak için, Demokratik Toplum Kongresi organizasyonun oluşturulmasında çalışmış ve Demokratik Toplum Kongresi tarafından düzenlenen toplantılarda konuşma yapmıştır. </w:t>
      </w:r>
    </w:p>
    <w:p w:rsidR="00812749" w:rsidRPr="003D5488" w:rsidRDefault="00812749" w:rsidP="00724F6F">
      <w:pPr>
        <w:numPr>
          <w:ilvl w:val="0"/>
          <w:numId w:val="8"/>
        </w:numPr>
        <w:spacing w:after="0" w:line="276" w:lineRule="auto"/>
        <w:ind w:left="720" w:hanging="437"/>
        <w:contextualSpacing/>
        <w:jc w:val="both"/>
        <w:rPr>
          <w:rFonts w:ascii="Times New Roman" w:hAnsi="Times New Roman" w:cs="Times New Roman"/>
          <w:sz w:val="24"/>
          <w:szCs w:val="24"/>
        </w:rPr>
      </w:pPr>
      <w:r w:rsidRPr="003D5488">
        <w:rPr>
          <w:rFonts w:ascii="Times New Roman" w:hAnsi="Times New Roman" w:cs="Times New Roman"/>
          <w:sz w:val="24"/>
          <w:szCs w:val="24"/>
        </w:rPr>
        <w:t>Başvurucu, yasa dışı KCK örgütünün siyasi kanadının başı idi ve savcı bu bağlamda söz konusu delilleri sunmuştur:</w:t>
      </w:r>
    </w:p>
    <w:p w:rsidR="00812749" w:rsidRPr="003D5488" w:rsidRDefault="00812749" w:rsidP="00724F6F">
      <w:pPr>
        <w:numPr>
          <w:ilvl w:val="0"/>
          <w:numId w:val="9"/>
        </w:numPr>
        <w:spacing w:after="0" w:line="276" w:lineRule="auto"/>
        <w:ind w:left="720"/>
        <w:contextualSpacing/>
        <w:jc w:val="both"/>
        <w:rPr>
          <w:rFonts w:ascii="Times New Roman" w:hAnsi="Times New Roman" w:cs="Times New Roman"/>
          <w:sz w:val="24"/>
          <w:szCs w:val="24"/>
        </w:rPr>
      </w:pPr>
      <w:proofErr w:type="gramStart"/>
      <w:r w:rsidRPr="003D5488">
        <w:rPr>
          <w:rFonts w:ascii="Times New Roman" w:hAnsi="Times New Roman" w:cs="Times New Roman"/>
          <w:sz w:val="24"/>
          <w:szCs w:val="24"/>
        </w:rPr>
        <w:t xml:space="preserve">O dönem </w:t>
      </w:r>
      <w:proofErr w:type="spellStart"/>
      <w:r w:rsidRPr="003D5488">
        <w:rPr>
          <w:rFonts w:ascii="Times New Roman" w:hAnsi="Times New Roman" w:cs="Times New Roman"/>
          <w:sz w:val="24"/>
          <w:szCs w:val="24"/>
        </w:rPr>
        <w:t>Sur’un</w:t>
      </w:r>
      <w:proofErr w:type="spellEnd"/>
      <w:r w:rsidRPr="003D5488">
        <w:rPr>
          <w:rFonts w:ascii="Times New Roman" w:hAnsi="Times New Roman" w:cs="Times New Roman"/>
          <w:sz w:val="24"/>
          <w:szCs w:val="24"/>
        </w:rPr>
        <w:t xml:space="preserve"> belediye başkanlığını yapmış ve 2017’de terör örgütünü yönetme suçundan on sekiz yıl hapis cezasına çarptırılmış </w:t>
      </w:r>
      <w:proofErr w:type="spellStart"/>
      <w:r w:rsidRPr="003D5488">
        <w:rPr>
          <w:rFonts w:ascii="Times New Roman" w:hAnsi="Times New Roman" w:cs="Times New Roman"/>
          <w:sz w:val="24"/>
          <w:szCs w:val="24"/>
        </w:rPr>
        <w:t>A.D’nin</w:t>
      </w:r>
      <w:proofErr w:type="spellEnd"/>
      <w:r w:rsidRPr="003D5488">
        <w:rPr>
          <w:rFonts w:ascii="Times New Roman" w:hAnsi="Times New Roman" w:cs="Times New Roman"/>
          <w:sz w:val="24"/>
          <w:szCs w:val="24"/>
        </w:rPr>
        <w:t xml:space="preserve"> evinde bulunan, “</w:t>
      </w:r>
      <w:proofErr w:type="spellStart"/>
      <w:r w:rsidRPr="003D5488">
        <w:rPr>
          <w:rFonts w:ascii="Times New Roman" w:hAnsi="Times New Roman" w:cs="Times New Roman"/>
          <w:sz w:val="24"/>
          <w:szCs w:val="24"/>
        </w:rPr>
        <w:t>documento</w:t>
      </w:r>
      <w:proofErr w:type="spellEnd"/>
      <w:r w:rsidRPr="003D5488">
        <w:rPr>
          <w:rFonts w:ascii="Times New Roman" w:hAnsi="Times New Roman" w:cs="Times New Roman"/>
          <w:sz w:val="24"/>
          <w:szCs w:val="24"/>
        </w:rPr>
        <w:t xml:space="preserve">” ve “ikram ark” isimli, </w:t>
      </w:r>
      <w:proofErr w:type="spellStart"/>
      <w:r w:rsidRPr="003D5488">
        <w:rPr>
          <w:rFonts w:ascii="Times New Roman" w:hAnsi="Times New Roman" w:cs="Times New Roman"/>
          <w:sz w:val="24"/>
          <w:szCs w:val="24"/>
        </w:rPr>
        <w:t>KCK’nın</w:t>
      </w:r>
      <w:proofErr w:type="spellEnd"/>
      <w:r w:rsidRPr="003D5488">
        <w:rPr>
          <w:rFonts w:ascii="Times New Roman" w:hAnsi="Times New Roman" w:cs="Times New Roman"/>
          <w:sz w:val="24"/>
          <w:szCs w:val="24"/>
        </w:rPr>
        <w:t xml:space="preserve"> lideri olduğu düşünülen S.O.’</w:t>
      </w:r>
      <w:proofErr w:type="spellStart"/>
      <w:r w:rsidRPr="003D5488">
        <w:rPr>
          <w:rFonts w:ascii="Times New Roman" w:hAnsi="Times New Roman" w:cs="Times New Roman"/>
          <w:sz w:val="24"/>
          <w:szCs w:val="24"/>
        </w:rPr>
        <w:t>nun</w:t>
      </w:r>
      <w:proofErr w:type="spellEnd"/>
      <w:r w:rsidRPr="003D5488">
        <w:rPr>
          <w:rFonts w:ascii="Times New Roman" w:hAnsi="Times New Roman" w:cs="Times New Roman"/>
          <w:sz w:val="24"/>
          <w:szCs w:val="24"/>
        </w:rPr>
        <w:t xml:space="preserve"> -içerisinde başvurucunun da bulunduğu- birçok insana PKK tarafından yanlışlıkla öldürülen İ.E.’</w:t>
      </w:r>
      <w:proofErr w:type="spellStart"/>
      <w:r w:rsidRPr="003D5488">
        <w:rPr>
          <w:rFonts w:ascii="Times New Roman" w:hAnsi="Times New Roman" w:cs="Times New Roman"/>
          <w:sz w:val="24"/>
          <w:szCs w:val="24"/>
        </w:rPr>
        <w:t>nin</w:t>
      </w:r>
      <w:proofErr w:type="spellEnd"/>
      <w:r w:rsidRPr="003D5488">
        <w:rPr>
          <w:rFonts w:ascii="Times New Roman" w:hAnsi="Times New Roman" w:cs="Times New Roman"/>
          <w:sz w:val="24"/>
          <w:szCs w:val="24"/>
        </w:rPr>
        <w:t xml:space="preserve"> akrabalarını ziyaret etmesi yönünde talimat verdiği iki belgenin bulunduğu hard disk;</w:t>
      </w:r>
      <w:proofErr w:type="gramEnd"/>
    </w:p>
    <w:p w:rsidR="00812749" w:rsidRPr="003D5488" w:rsidRDefault="00812749" w:rsidP="00724F6F">
      <w:pPr>
        <w:numPr>
          <w:ilvl w:val="0"/>
          <w:numId w:val="9"/>
        </w:numPr>
        <w:spacing w:after="0" w:line="276" w:lineRule="auto"/>
        <w:ind w:left="720"/>
        <w:contextualSpacing/>
        <w:jc w:val="both"/>
        <w:rPr>
          <w:rFonts w:ascii="Times New Roman" w:hAnsi="Times New Roman" w:cs="Times New Roman"/>
          <w:sz w:val="24"/>
          <w:szCs w:val="24"/>
        </w:rPr>
      </w:pPr>
      <w:r w:rsidRPr="003D5488">
        <w:rPr>
          <w:rFonts w:ascii="Times New Roman" w:hAnsi="Times New Roman" w:cs="Times New Roman"/>
          <w:sz w:val="24"/>
          <w:szCs w:val="24"/>
        </w:rPr>
        <w:t>S.O. ile Demokratik Bölgeler Partisi’nin (Kürt yanlısı bir solcu siyasi parti) terör örgütü yönetme suçundan yirmi bir yıl hapis cezasına çarptırılmış eş başkanı K.Y. arasında ve K.Y ile başvurucu arasında yapılan dinlenmiş telefon konuşmalarının kayıtları. Bu kayıtlara göre S.O</w:t>
      </w:r>
      <w:proofErr w:type="gramStart"/>
      <w:r w:rsidRPr="003D5488">
        <w:rPr>
          <w:rFonts w:ascii="Times New Roman" w:hAnsi="Times New Roman" w:cs="Times New Roman"/>
          <w:sz w:val="24"/>
          <w:szCs w:val="24"/>
        </w:rPr>
        <w:t>.,</w:t>
      </w:r>
      <w:proofErr w:type="gramEnd"/>
      <w:r w:rsidRPr="003D5488">
        <w:rPr>
          <w:rFonts w:ascii="Times New Roman" w:hAnsi="Times New Roman" w:cs="Times New Roman"/>
          <w:sz w:val="24"/>
          <w:szCs w:val="24"/>
        </w:rPr>
        <w:t xml:space="preserve"> içerisinde başvurucunun da bulunduğu birçok kişiye </w:t>
      </w:r>
      <w:proofErr w:type="spellStart"/>
      <w:r w:rsidRPr="003D5488">
        <w:rPr>
          <w:rFonts w:ascii="Times New Roman" w:hAnsi="Times New Roman" w:cs="Times New Roman"/>
          <w:sz w:val="24"/>
          <w:szCs w:val="24"/>
        </w:rPr>
        <w:t>Strazburg’ta</w:t>
      </w:r>
      <w:proofErr w:type="spellEnd"/>
      <w:r w:rsidRPr="003D5488">
        <w:rPr>
          <w:rFonts w:ascii="Times New Roman" w:hAnsi="Times New Roman" w:cs="Times New Roman"/>
          <w:sz w:val="24"/>
          <w:szCs w:val="24"/>
        </w:rPr>
        <w:t xml:space="preserve"> yer alan belirli toplantılara katılmaları yönünde talimat vermiştir. </w:t>
      </w:r>
    </w:p>
    <w:p w:rsidR="00812749" w:rsidRPr="003D5488" w:rsidRDefault="00812749" w:rsidP="00724F6F">
      <w:pPr>
        <w:numPr>
          <w:ilvl w:val="1"/>
          <w:numId w:val="9"/>
        </w:numPr>
        <w:spacing w:after="0" w:line="276" w:lineRule="auto"/>
        <w:contextualSpacing/>
        <w:jc w:val="both"/>
        <w:rPr>
          <w:rFonts w:ascii="Times New Roman" w:hAnsi="Times New Roman" w:cs="Times New Roman"/>
          <w:sz w:val="24"/>
          <w:szCs w:val="24"/>
        </w:rPr>
      </w:pPr>
      <w:r w:rsidRPr="003D5488">
        <w:rPr>
          <w:rFonts w:ascii="Times New Roman" w:hAnsi="Times New Roman" w:cs="Times New Roman"/>
          <w:sz w:val="24"/>
          <w:szCs w:val="24"/>
        </w:rPr>
        <w:t>4 Aralık 2018’de başvurucu ile K.Y. arasında yer alan konuşmanın ilgili kısımlarının transkripti şu şekildedir:</w:t>
      </w:r>
    </w:p>
    <w:p w:rsidR="00812749" w:rsidRPr="00825AF7" w:rsidRDefault="00812749" w:rsidP="00825AF7">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w:t>
      </w:r>
      <w:r w:rsidR="00825AF7" w:rsidRPr="00825AF7">
        <w:rPr>
          <w:rFonts w:ascii="Times New Roman" w:eastAsia="Times New Roman" w:hAnsi="Times New Roman" w:cs="Times New Roman"/>
          <w:szCs w:val="24"/>
          <w:lang w:eastAsia="tr-TR"/>
        </w:rPr>
        <w:t xml:space="preserve">programın ciddiyeti açısından da mutlaka katılması gerekiyor yani </w:t>
      </w:r>
      <w:r w:rsidR="00825AF7">
        <w:rPr>
          <w:rFonts w:ascii="Times New Roman" w:eastAsia="Times New Roman" w:hAnsi="Times New Roman" w:cs="Times New Roman"/>
          <w:szCs w:val="24"/>
          <w:lang w:eastAsia="tr-TR"/>
        </w:rPr>
        <w:t>ikinizin</w:t>
      </w:r>
      <w:r w:rsidR="00825AF7" w:rsidRPr="00825AF7">
        <w:rPr>
          <w:rFonts w:ascii="Times New Roman" w:eastAsia="Times New Roman" w:hAnsi="Times New Roman" w:cs="Times New Roman"/>
          <w:szCs w:val="24"/>
          <w:lang w:eastAsia="tr-TR"/>
        </w:rPr>
        <w:t xml:space="preserve"> o </w:t>
      </w:r>
      <w:r w:rsidR="00825AF7">
        <w:rPr>
          <w:rFonts w:ascii="Times New Roman" w:eastAsia="Times New Roman" w:hAnsi="Times New Roman" w:cs="Times New Roman"/>
          <w:szCs w:val="24"/>
          <w:lang w:eastAsia="tr-TR"/>
        </w:rPr>
        <w:t>[Avrupa] K</w:t>
      </w:r>
      <w:r w:rsidR="00825AF7" w:rsidRPr="00825AF7">
        <w:rPr>
          <w:rFonts w:ascii="Times New Roman" w:eastAsia="Times New Roman" w:hAnsi="Times New Roman" w:cs="Times New Roman"/>
          <w:szCs w:val="24"/>
          <w:lang w:eastAsia="tr-TR"/>
        </w:rPr>
        <w:t>onsey</w:t>
      </w:r>
      <w:r w:rsidR="00825AF7">
        <w:rPr>
          <w:rFonts w:ascii="Times New Roman" w:eastAsia="Times New Roman" w:hAnsi="Times New Roman" w:cs="Times New Roman"/>
          <w:szCs w:val="24"/>
          <w:lang w:eastAsia="tr-TR"/>
        </w:rPr>
        <w:t>[i]</w:t>
      </w:r>
      <w:r w:rsidR="00825AF7" w:rsidRPr="00825AF7">
        <w:rPr>
          <w:rFonts w:ascii="Times New Roman" w:eastAsia="Times New Roman" w:hAnsi="Times New Roman" w:cs="Times New Roman"/>
          <w:szCs w:val="24"/>
          <w:lang w:eastAsia="tr-TR"/>
        </w:rPr>
        <w:t xml:space="preserve"> toplantısını önemsiyorlar onun için diyor iki günlüktür mutlaka katılsınlar yani</w:t>
      </w:r>
    </w:p>
    <w:p w:rsidR="00812749" w:rsidRPr="003D5488" w:rsidRDefault="00825AF7"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[Başvurucu]: 3-4 defa oldu aratı</w:t>
      </w:r>
      <w:r w:rsidR="00812749" w:rsidRPr="003D5488">
        <w:rPr>
          <w:rFonts w:ascii="Times New Roman" w:eastAsia="Times New Roman" w:hAnsi="Times New Roman" w:cs="Times New Roman"/>
          <w:szCs w:val="24"/>
          <w:lang w:eastAsia="tr-TR"/>
        </w:rPr>
        <w:t xml:space="preserve">yor. </w:t>
      </w:r>
    </w:p>
    <w:p w:rsidR="00812749" w:rsidRPr="00825AF7" w:rsidRDefault="00812749" w:rsidP="00825AF7">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Yani, </w:t>
      </w:r>
      <w:r w:rsidR="00825AF7">
        <w:rPr>
          <w:rFonts w:ascii="Times New Roman" w:eastAsia="Times New Roman" w:hAnsi="Times New Roman" w:cs="Times New Roman"/>
          <w:szCs w:val="24"/>
          <w:lang w:eastAsia="tr-TR"/>
        </w:rPr>
        <w:t>artık bu noktaya geldiler. Ç</w:t>
      </w:r>
      <w:r w:rsidR="00825AF7" w:rsidRPr="00825AF7">
        <w:rPr>
          <w:rFonts w:ascii="Times New Roman" w:eastAsia="Times New Roman" w:hAnsi="Times New Roman" w:cs="Times New Roman"/>
          <w:szCs w:val="24"/>
          <w:lang w:eastAsia="tr-TR"/>
        </w:rPr>
        <w:t>ok ilgilenmedim</w:t>
      </w:r>
      <w:r w:rsidR="00825AF7">
        <w:rPr>
          <w:rFonts w:ascii="Times New Roman" w:eastAsia="Times New Roman" w:hAnsi="Times New Roman" w:cs="Times New Roman"/>
          <w:szCs w:val="24"/>
          <w:lang w:eastAsia="tr-TR"/>
        </w:rPr>
        <w:t xml:space="preserve"> </w:t>
      </w:r>
      <w:r w:rsidR="00825AF7" w:rsidRPr="00825AF7">
        <w:rPr>
          <w:rFonts w:ascii="Times New Roman" w:eastAsia="Times New Roman" w:hAnsi="Times New Roman" w:cs="Times New Roman"/>
          <w:szCs w:val="24"/>
          <w:lang w:eastAsia="tr-TR"/>
        </w:rPr>
        <w:t>de</w:t>
      </w:r>
      <w:r w:rsidR="00825AF7">
        <w:rPr>
          <w:rFonts w:ascii="Times New Roman" w:eastAsia="Times New Roman" w:hAnsi="Times New Roman" w:cs="Times New Roman"/>
          <w:szCs w:val="24"/>
          <w:lang w:eastAsia="tr-TR"/>
        </w:rPr>
        <w:t xml:space="preserve">, </w:t>
      </w:r>
      <w:r w:rsidR="00825AF7" w:rsidRPr="00825AF7">
        <w:rPr>
          <w:rFonts w:ascii="Times New Roman" w:eastAsia="Times New Roman" w:hAnsi="Times New Roman" w:cs="Times New Roman"/>
          <w:szCs w:val="24"/>
          <w:lang w:eastAsia="tr-TR"/>
        </w:rPr>
        <w:t xml:space="preserve"> </w:t>
      </w:r>
      <w:r w:rsidR="00825AF7">
        <w:rPr>
          <w:rFonts w:ascii="Times New Roman" w:eastAsia="Times New Roman" w:hAnsi="Times New Roman" w:cs="Times New Roman"/>
          <w:szCs w:val="24"/>
          <w:lang w:eastAsia="tr-TR"/>
        </w:rPr>
        <w:t xml:space="preserve">dedim arkadaşlar formül buluyor, </w:t>
      </w:r>
      <w:r w:rsidR="00825AF7" w:rsidRPr="00825AF7">
        <w:rPr>
          <w:rFonts w:ascii="Times New Roman" w:eastAsia="Times New Roman" w:hAnsi="Times New Roman" w:cs="Times New Roman"/>
          <w:szCs w:val="24"/>
          <w:lang w:eastAsia="tr-TR"/>
        </w:rPr>
        <w:t>olmamış demek</w:t>
      </w:r>
      <w:r w:rsidR="00825AF7">
        <w:rPr>
          <w:rFonts w:ascii="Times New Roman" w:eastAsia="Times New Roman" w:hAnsi="Times New Roman" w:cs="Times New Roman"/>
          <w:szCs w:val="24"/>
          <w:lang w:eastAsia="tr-TR"/>
        </w:rPr>
        <w:t xml:space="preserve"> </w:t>
      </w:r>
      <w:r w:rsidR="00825AF7" w:rsidRPr="00825AF7">
        <w:rPr>
          <w:rFonts w:ascii="Times New Roman" w:eastAsia="Times New Roman" w:hAnsi="Times New Roman" w:cs="Times New Roman"/>
          <w:szCs w:val="24"/>
          <w:lang w:eastAsia="tr-TR"/>
        </w:rPr>
        <w:t>ki</w:t>
      </w:r>
      <w:r w:rsidR="00825AF7">
        <w:rPr>
          <w:rFonts w:ascii="Times New Roman" w:eastAsia="Times New Roman" w:hAnsi="Times New Roman" w:cs="Times New Roman"/>
          <w:szCs w:val="24"/>
          <w:lang w:eastAsia="tr-TR"/>
        </w:rPr>
        <w:t>. Ş</w:t>
      </w:r>
      <w:r w:rsidR="00825AF7" w:rsidRPr="00825AF7">
        <w:rPr>
          <w:rFonts w:ascii="Times New Roman" w:eastAsia="Times New Roman" w:hAnsi="Times New Roman" w:cs="Times New Roman"/>
          <w:szCs w:val="24"/>
          <w:lang w:eastAsia="tr-TR"/>
        </w:rPr>
        <w:t>imdi kesinlikle olacak diyor</w:t>
      </w:r>
      <w:r w:rsidR="00825AF7">
        <w:rPr>
          <w:rFonts w:ascii="Times New Roman" w:eastAsia="Times New Roman" w:hAnsi="Times New Roman" w:cs="Times New Roman"/>
          <w:szCs w:val="24"/>
          <w:lang w:eastAsia="tr-TR"/>
        </w:rPr>
        <w:t>,</w:t>
      </w:r>
      <w:r w:rsidR="00825AF7" w:rsidRPr="00825AF7">
        <w:rPr>
          <w:rFonts w:ascii="Times New Roman" w:eastAsia="Times New Roman" w:hAnsi="Times New Roman" w:cs="Times New Roman"/>
          <w:szCs w:val="24"/>
          <w:lang w:eastAsia="tr-TR"/>
        </w:rPr>
        <w:t xml:space="preserve"> başka türlü bi</w:t>
      </w:r>
      <w:r w:rsidR="00825AF7">
        <w:rPr>
          <w:rFonts w:ascii="Times New Roman" w:eastAsia="Times New Roman" w:hAnsi="Times New Roman" w:cs="Times New Roman"/>
          <w:szCs w:val="24"/>
          <w:lang w:eastAsia="tr-TR"/>
        </w:rPr>
        <w:t>r</w:t>
      </w:r>
      <w:r w:rsidR="00825AF7" w:rsidRPr="00825AF7">
        <w:rPr>
          <w:rFonts w:ascii="Times New Roman" w:eastAsia="Times New Roman" w:hAnsi="Times New Roman" w:cs="Times New Roman"/>
          <w:szCs w:val="24"/>
          <w:lang w:eastAsia="tr-TR"/>
        </w:rPr>
        <w:t xml:space="preserve"> formül olmuyor</w:t>
      </w:r>
      <w:r w:rsidR="00825AF7">
        <w:rPr>
          <w:rFonts w:ascii="Times New Roman" w:eastAsia="Times New Roman" w:hAnsi="Times New Roman" w:cs="Times New Roman"/>
          <w:szCs w:val="24"/>
          <w:lang w:eastAsia="tr-TR"/>
        </w:rPr>
        <w:t>,</w:t>
      </w:r>
      <w:r w:rsidR="00825AF7" w:rsidRPr="00825AF7">
        <w:rPr>
          <w:rFonts w:ascii="Times New Roman" w:eastAsia="Times New Roman" w:hAnsi="Times New Roman" w:cs="Times New Roman"/>
          <w:szCs w:val="24"/>
          <w:lang w:eastAsia="tr-TR"/>
        </w:rPr>
        <w:t xml:space="preserve"> bizi </w:t>
      </w:r>
      <w:r w:rsidR="00825AF7" w:rsidRPr="00825AF7">
        <w:rPr>
          <w:rFonts w:ascii="Times New Roman" w:eastAsia="Times New Roman" w:hAnsi="Times New Roman" w:cs="Times New Roman"/>
          <w:szCs w:val="24"/>
          <w:lang w:eastAsia="tr-TR"/>
        </w:rPr>
        <w:lastRenderedPageBreak/>
        <w:t>zorlayan bir durumdur</w:t>
      </w:r>
      <w:r w:rsidR="00825AF7">
        <w:rPr>
          <w:rFonts w:ascii="Times New Roman" w:eastAsia="Times New Roman" w:hAnsi="Times New Roman" w:cs="Times New Roman"/>
          <w:szCs w:val="24"/>
          <w:lang w:eastAsia="tr-TR"/>
        </w:rPr>
        <w:t>. B</w:t>
      </w:r>
      <w:r w:rsidR="00825AF7" w:rsidRPr="00825AF7">
        <w:rPr>
          <w:rFonts w:ascii="Times New Roman" w:eastAsia="Times New Roman" w:hAnsi="Times New Roman" w:cs="Times New Roman"/>
          <w:szCs w:val="24"/>
          <w:lang w:eastAsia="tr-TR"/>
        </w:rPr>
        <w:t>en durumu biraz izah ettim</w:t>
      </w:r>
      <w:r w:rsidR="00825AF7">
        <w:rPr>
          <w:rFonts w:ascii="Times New Roman" w:eastAsia="Times New Roman" w:hAnsi="Times New Roman" w:cs="Times New Roman"/>
          <w:szCs w:val="24"/>
          <w:lang w:eastAsia="tr-TR"/>
        </w:rPr>
        <w:t xml:space="preserve"> de, </w:t>
      </w:r>
      <w:r w:rsidR="00825AF7" w:rsidRPr="00825AF7">
        <w:rPr>
          <w:rFonts w:ascii="Times New Roman" w:eastAsia="Times New Roman" w:hAnsi="Times New Roman" w:cs="Times New Roman"/>
          <w:szCs w:val="24"/>
          <w:lang w:eastAsia="tr-TR"/>
        </w:rPr>
        <w:t xml:space="preserve">gelse </w:t>
      </w:r>
      <w:r w:rsidR="00825AF7">
        <w:rPr>
          <w:rFonts w:ascii="Times New Roman" w:eastAsia="Times New Roman" w:hAnsi="Times New Roman" w:cs="Times New Roman"/>
          <w:szCs w:val="24"/>
          <w:lang w:eastAsia="tr-TR"/>
        </w:rPr>
        <w:t>iyi olur diyor.</w:t>
      </w:r>
    </w:p>
    <w:p w:rsidR="00825AF7" w:rsidRPr="0088348C" w:rsidRDefault="00825AF7" w:rsidP="00580B9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 xml:space="preserve"> [Başvurucu</w:t>
      </w:r>
      <w:r w:rsidR="00812749" w:rsidRPr="0088348C">
        <w:rPr>
          <w:rFonts w:ascii="Times New Roman" w:eastAsia="Times New Roman" w:hAnsi="Times New Roman" w:cs="Times New Roman"/>
          <w:szCs w:val="24"/>
          <w:lang w:eastAsia="tr-TR"/>
        </w:rPr>
        <w:t xml:space="preserve">]: </w:t>
      </w:r>
      <w:r w:rsidRPr="0088348C">
        <w:rPr>
          <w:rFonts w:ascii="Times New Roman" w:eastAsia="Times New Roman" w:hAnsi="Times New Roman" w:cs="Times New Roman"/>
          <w:szCs w:val="24"/>
          <w:lang w:eastAsia="tr-TR"/>
        </w:rPr>
        <w:t xml:space="preserve">… </w:t>
      </w:r>
      <w:proofErr w:type="gramStart"/>
      <w:r w:rsidRPr="0088348C">
        <w:rPr>
          <w:rFonts w:ascii="Times New Roman" w:eastAsia="Times New Roman" w:hAnsi="Times New Roman" w:cs="Times New Roman"/>
          <w:szCs w:val="24"/>
          <w:lang w:eastAsia="tr-TR"/>
        </w:rPr>
        <w:t>konuşayım</w:t>
      </w:r>
      <w:proofErr w:type="gramEnd"/>
      <w:r w:rsidRPr="0088348C">
        <w:rPr>
          <w:rFonts w:ascii="Times New Roman" w:eastAsia="Times New Roman" w:hAnsi="Times New Roman" w:cs="Times New Roman"/>
          <w:szCs w:val="24"/>
          <w:lang w:eastAsia="tr-TR"/>
        </w:rPr>
        <w:t>.</w:t>
      </w:r>
    </w:p>
    <w:p w:rsidR="00812749" w:rsidRP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 xml:space="preserve">İki   günlük   program, diyor mutlaka katılsın. Gelse iyi olur, </w:t>
      </w:r>
      <w:r w:rsidR="00825AF7" w:rsidRPr="0088348C">
        <w:rPr>
          <w:rFonts w:ascii="Times New Roman" w:eastAsia="Times New Roman" w:hAnsi="Times New Roman" w:cs="Times New Roman"/>
          <w:szCs w:val="24"/>
          <w:lang w:eastAsia="tr-TR"/>
        </w:rPr>
        <w:t>on</w:t>
      </w:r>
      <w:r w:rsidR="0088348C" w:rsidRPr="0088348C">
        <w:rPr>
          <w:rFonts w:ascii="Times New Roman" w:eastAsia="Times New Roman" w:hAnsi="Times New Roman" w:cs="Times New Roman"/>
          <w:szCs w:val="24"/>
          <w:lang w:eastAsia="tr-TR"/>
        </w:rPr>
        <w:t>un</w:t>
      </w:r>
      <w:r w:rsidR="00825AF7" w:rsidRPr="0088348C">
        <w:rPr>
          <w:rFonts w:ascii="Times New Roman" w:eastAsia="Times New Roman" w:hAnsi="Times New Roman" w:cs="Times New Roman"/>
          <w:szCs w:val="24"/>
          <w:lang w:eastAsia="tr-TR"/>
        </w:rPr>
        <w:t>la ilgili bizim görüşmemiz gereken şeyler var</w:t>
      </w:r>
      <w:r w:rsidR="0088348C" w:rsidRPr="0088348C">
        <w:rPr>
          <w:rFonts w:ascii="Times New Roman" w:eastAsia="Times New Roman" w:hAnsi="Times New Roman" w:cs="Times New Roman"/>
          <w:szCs w:val="24"/>
          <w:lang w:eastAsia="tr-TR"/>
        </w:rPr>
        <w:t>.</w:t>
      </w:r>
    </w:p>
    <w:p w:rsidR="00812749" w:rsidRPr="003D5488" w:rsidRDefault="00812749" w:rsidP="00812749">
      <w:pPr>
        <w:spacing w:after="0" w:line="276" w:lineRule="auto"/>
        <w:ind w:left="2498"/>
        <w:contextualSpacing/>
        <w:jc w:val="both"/>
        <w:rPr>
          <w:rFonts w:ascii="Times New Roman" w:hAnsi="Times New Roman" w:cs="Times New Roman"/>
          <w:sz w:val="24"/>
          <w:szCs w:val="24"/>
        </w:rPr>
      </w:pPr>
    </w:p>
    <w:p w:rsidR="00812749" w:rsidRPr="003D5488" w:rsidRDefault="00812749" w:rsidP="00724F6F">
      <w:pPr>
        <w:numPr>
          <w:ilvl w:val="1"/>
          <w:numId w:val="9"/>
        </w:numPr>
        <w:spacing w:after="0" w:line="276" w:lineRule="auto"/>
        <w:contextualSpacing/>
        <w:jc w:val="both"/>
        <w:rPr>
          <w:rFonts w:ascii="Times New Roman" w:hAnsi="Times New Roman" w:cs="Times New Roman"/>
          <w:sz w:val="24"/>
          <w:szCs w:val="24"/>
        </w:rPr>
      </w:pPr>
      <w:r w:rsidRPr="003D5488">
        <w:rPr>
          <w:rFonts w:ascii="Times New Roman" w:hAnsi="Times New Roman" w:cs="Times New Roman"/>
          <w:sz w:val="24"/>
          <w:szCs w:val="24"/>
        </w:rPr>
        <w:t>4 Aralık 2018’de S.O. ile K.Y. arasında yer alan konuşmanın ilgili kısımlarının transkripti şu şekildedir:</w:t>
      </w:r>
    </w:p>
    <w:p w:rsidR="00812749" w:rsidRPr="003D5488" w:rsidRDefault="0088348C"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S.O</w:t>
      </w:r>
      <w:proofErr w:type="gramStart"/>
      <w:r>
        <w:rPr>
          <w:rFonts w:ascii="Times New Roman" w:eastAsia="Times New Roman" w:hAnsi="Times New Roman" w:cs="Times New Roman"/>
          <w:szCs w:val="24"/>
          <w:lang w:eastAsia="tr-TR"/>
        </w:rPr>
        <w:t>.:</w:t>
      </w:r>
      <w:proofErr w:type="gramEnd"/>
      <w:r>
        <w:rPr>
          <w:rFonts w:ascii="Times New Roman" w:eastAsia="Times New Roman" w:hAnsi="Times New Roman" w:cs="Times New Roman"/>
          <w:szCs w:val="24"/>
          <w:lang w:eastAsia="tr-TR"/>
        </w:rPr>
        <w:t xml:space="preserve"> F.’</w:t>
      </w:r>
      <w:proofErr w:type="spellStart"/>
      <w:r>
        <w:rPr>
          <w:rFonts w:ascii="Times New Roman" w:eastAsia="Times New Roman" w:hAnsi="Times New Roman" w:cs="Times New Roman"/>
          <w:szCs w:val="24"/>
          <w:lang w:eastAsia="tr-TR"/>
        </w:rPr>
        <w:t>yi</w:t>
      </w:r>
      <w:proofErr w:type="spellEnd"/>
      <w:r>
        <w:rPr>
          <w:rFonts w:ascii="Times New Roman" w:eastAsia="Times New Roman" w:hAnsi="Times New Roman" w:cs="Times New Roman"/>
          <w:szCs w:val="24"/>
          <w:lang w:eastAsia="tr-TR"/>
        </w:rPr>
        <w:t xml:space="preserve"> aradılar </w:t>
      </w:r>
      <w:proofErr w:type="spellStart"/>
      <w:r>
        <w:rPr>
          <w:rFonts w:ascii="Times New Roman" w:eastAsia="Times New Roman" w:hAnsi="Times New Roman" w:cs="Times New Roman"/>
          <w:szCs w:val="24"/>
          <w:lang w:eastAsia="tr-TR"/>
        </w:rPr>
        <w:t>heval</w:t>
      </w:r>
      <w:proofErr w:type="spellEnd"/>
      <w:r>
        <w:rPr>
          <w:rFonts w:ascii="Times New Roman" w:eastAsia="Times New Roman" w:hAnsi="Times New Roman" w:cs="Times New Roman"/>
          <w:szCs w:val="24"/>
          <w:lang w:eastAsia="tr-TR"/>
        </w:rPr>
        <w:t xml:space="preserve">. </w:t>
      </w:r>
      <w:r w:rsidR="00812749" w:rsidRPr="003D5488">
        <w:rPr>
          <w:rFonts w:ascii="Times New Roman" w:eastAsia="Times New Roman" w:hAnsi="Times New Roman" w:cs="Times New Roman"/>
          <w:szCs w:val="24"/>
          <w:lang w:eastAsia="tr-TR"/>
        </w:rPr>
        <w:t xml:space="preserve">İtalya’ya gelemeyeceklerini söylediler. </w:t>
      </w:r>
    </w:p>
    <w:p w:rsidR="00812749" w:rsidRPr="003D5488"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Bana da S. ve B.’</w:t>
      </w:r>
      <w:proofErr w:type="spellStart"/>
      <w:r w:rsidRPr="003D5488">
        <w:rPr>
          <w:rFonts w:ascii="Times New Roman" w:eastAsia="Times New Roman" w:hAnsi="Times New Roman" w:cs="Times New Roman"/>
          <w:szCs w:val="24"/>
          <w:lang w:eastAsia="tr-TR"/>
        </w:rPr>
        <w:t>nin</w:t>
      </w:r>
      <w:proofErr w:type="spellEnd"/>
      <w:r w:rsidRPr="003D5488">
        <w:rPr>
          <w:rFonts w:ascii="Times New Roman" w:eastAsia="Times New Roman" w:hAnsi="Times New Roman" w:cs="Times New Roman"/>
          <w:szCs w:val="24"/>
          <w:lang w:eastAsia="tr-TR"/>
        </w:rPr>
        <w:t xml:space="preserve"> orada olacağını söylediler, şimdi teyit etti</w:t>
      </w:r>
      <w:r w:rsidR="0088348C">
        <w:rPr>
          <w:rFonts w:ascii="Times New Roman" w:eastAsia="Times New Roman" w:hAnsi="Times New Roman" w:cs="Times New Roman"/>
          <w:szCs w:val="24"/>
          <w:lang w:eastAsia="tr-TR"/>
        </w:rPr>
        <w:t>rdi</w:t>
      </w:r>
      <w:r w:rsidRPr="003D5488">
        <w:rPr>
          <w:rFonts w:ascii="Times New Roman" w:eastAsia="Times New Roman" w:hAnsi="Times New Roman" w:cs="Times New Roman"/>
          <w:szCs w:val="24"/>
          <w:lang w:eastAsia="tr-TR"/>
        </w:rPr>
        <w:t xml:space="preserve">m. </w:t>
      </w:r>
    </w:p>
    <w:p w:rsid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S.O</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w:t>
      </w:r>
      <w:r w:rsidR="0088348C">
        <w:rPr>
          <w:rFonts w:ascii="Times New Roman" w:eastAsia="Times New Roman" w:hAnsi="Times New Roman" w:cs="Times New Roman"/>
          <w:szCs w:val="24"/>
          <w:lang w:eastAsia="tr-TR"/>
        </w:rPr>
        <w:t>yani bu komşuya misafirliğe gitmek değil Avrupa K</w:t>
      </w:r>
      <w:r w:rsidR="0088348C" w:rsidRPr="0088348C">
        <w:rPr>
          <w:rFonts w:ascii="Times New Roman" w:eastAsia="Times New Roman" w:hAnsi="Times New Roman" w:cs="Times New Roman"/>
          <w:szCs w:val="24"/>
          <w:lang w:eastAsia="tr-TR"/>
        </w:rPr>
        <w:t>onseyi</w:t>
      </w:r>
      <w:r w:rsidR="0088348C">
        <w:rPr>
          <w:rFonts w:ascii="Times New Roman" w:eastAsia="Times New Roman" w:hAnsi="Times New Roman" w:cs="Times New Roman"/>
          <w:szCs w:val="24"/>
          <w:lang w:eastAsia="tr-TR"/>
        </w:rPr>
        <w:t>’</w:t>
      </w:r>
      <w:r w:rsidR="0088348C" w:rsidRPr="0088348C">
        <w:rPr>
          <w:rFonts w:ascii="Times New Roman" w:eastAsia="Times New Roman" w:hAnsi="Times New Roman" w:cs="Times New Roman"/>
          <w:szCs w:val="24"/>
          <w:lang w:eastAsia="tr-TR"/>
        </w:rPr>
        <w:t>nde randevu alıyorlar böyle bir şey olmaz yani böyle ciddiyetsizlik olur</w:t>
      </w:r>
      <w:r w:rsidR="0088348C">
        <w:rPr>
          <w:rFonts w:ascii="Times New Roman" w:eastAsia="Times New Roman" w:hAnsi="Times New Roman" w:cs="Times New Roman"/>
          <w:szCs w:val="24"/>
          <w:lang w:eastAsia="tr-TR"/>
        </w:rPr>
        <w:t xml:space="preserve"> mu? </w:t>
      </w:r>
      <w:proofErr w:type="gramStart"/>
      <w:r w:rsidR="0088348C" w:rsidRPr="0088348C">
        <w:rPr>
          <w:rFonts w:ascii="Times New Roman" w:eastAsia="Times New Roman" w:hAnsi="Times New Roman" w:cs="Times New Roman"/>
          <w:szCs w:val="24"/>
          <w:lang w:eastAsia="tr-TR"/>
        </w:rPr>
        <w:t>onları</w:t>
      </w:r>
      <w:proofErr w:type="gramEnd"/>
      <w:r w:rsidR="0088348C" w:rsidRPr="0088348C">
        <w:rPr>
          <w:rFonts w:ascii="Times New Roman" w:eastAsia="Times New Roman" w:hAnsi="Times New Roman" w:cs="Times New Roman"/>
          <w:szCs w:val="24"/>
          <w:lang w:eastAsia="tr-TR"/>
        </w:rPr>
        <w:t xml:space="preserve"> niye söylemiyorsunuz</w:t>
      </w:r>
      <w:r w:rsidR="0088348C">
        <w:rPr>
          <w:rFonts w:ascii="Times New Roman" w:eastAsia="Times New Roman" w:hAnsi="Times New Roman" w:cs="Times New Roman"/>
          <w:szCs w:val="24"/>
          <w:lang w:eastAsia="tr-TR"/>
        </w:rPr>
        <w:t>?</w:t>
      </w:r>
    </w:p>
    <w:p w:rsidR="00812749" w:rsidRPr="003D5488"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w:t>
      </w:r>
      <w:r w:rsidR="0088348C">
        <w:rPr>
          <w:rFonts w:ascii="Times New Roman" w:eastAsia="Times New Roman" w:hAnsi="Times New Roman" w:cs="Times New Roman"/>
          <w:szCs w:val="24"/>
          <w:lang w:eastAsia="tr-TR"/>
        </w:rPr>
        <w:t>Yani şuan çözülmemiş durumda.</w:t>
      </w:r>
    </w:p>
    <w:p w:rsidR="00812749" w:rsidRP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S.O</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Pek</w:t>
      </w:r>
      <w:r w:rsidR="0088348C">
        <w:rPr>
          <w:rFonts w:ascii="Times New Roman" w:eastAsia="Times New Roman" w:hAnsi="Times New Roman" w:cs="Times New Roman"/>
          <w:szCs w:val="24"/>
          <w:lang w:eastAsia="tr-TR"/>
        </w:rPr>
        <w:t>i o zaman nasıl bundan sonra parti</w:t>
      </w:r>
      <w:r w:rsidR="0088348C" w:rsidRPr="0088348C">
        <w:rPr>
          <w:rFonts w:ascii="Times New Roman" w:eastAsia="Times New Roman" w:hAnsi="Times New Roman" w:cs="Times New Roman"/>
          <w:szCs w:val="24"/>
          <w:lang w:eastAsia="tr-TR"/>
        </w:rPr>
        <w:t xml:space="preserve"> adına bur</w:t>
      </w:r>
      <w:r w:rsidR="0088348C">
        <w:rPr>
          <w:rFonts w:ascii="Times New Roman" w:eastAsia="Times New Roman" w:hAnsi="Times New Roman" w:cs="Times New Roman"/>
          <w:szCs w:val="24"/>
          <w:lang w:eastAsia="tr-TR"/>
        </w:rPr>
        <w:t>a</w:t>
      </w:r>
      <w:r w:rsidR="0088348C" w:rsidRPr="0088348C">
        <w:rPr>
          <w:rFonts w:ascii="Times New Roman" w:eastAsia="Times New Roman" w:hAnsi="Times New Roman" w:cs="Times New Roman"/>
          <w:szCs w:val="24"/>
          <w:lang w:eastAsia="tr-TR"/>
        </w:rPr>
        <w:t>da randevular alınacak hangi yüzle alınacak</w:t>
      </w:r>
      <w:r w:rsidR="0088348C">
        <w:rPr>
          <w:rFonts w:ascii="Times New Roman" w:eastAsia="Times New Roman" w:hAnsi="Times New Roman" w:cs="Times New Roman"/>
          <w:szCs w:val="24"/>
          <w:lang w:eastAsia="tr-TR"/>
        </w:rPr>
        <w:t>?</w:t>
      </w:r>
    </w:p>
    <w:p w:rsidR="00812749" w:rsidRPr="003D5488"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Evet.</w:t>
      </w:r>
    </w:p>
    <w:p w:rsidR="00812749" w:rsidRP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S.O</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ikisi</w:t>
      </w:r>
      <w:r w:rsidR="0088348C">
        <w:rPr>
          <w:rFonts w:ascii="Times New Roman" w:eastAsia="Times New Roman" w:hAnsi="Times New Roman" w:cs="Times New Roman"/>
          <w:szCs w:val="24"/>
          <w:lang w:eastAsia="tr-TR"/>
        </w:rPr>
        <w:t xml:space="preserve"> de gelecek </w:t>
      </w:r>
      <w:proofErr w:type="spellStart"/>
      <w:r w:rsidR="0088348C">
        <w:rPr>
          <w:rFonts w:ascii="Times New Roman" w:eastAsia="Times New Roman" w:hAnsi="Times New Roman" w:cs="Times New Roman"/>
          <w:szCs w:val="24"/>
          <w:lang w:eastAsia="tr-TR"/>
        </w:rPr>
        <w:t>heval</w:t>
      </w:r>
      <w:proofErr w:type="spellEnd"/>
      <w:r w:rsid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ne işleri varsa bıraksınlar ikisi</w:t>
      </w:r>
      <w:r w:rsid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de gelecek</w:t>
      </w:r>
      <w:r w:rsidR="0088348C">
        <w:rPr>
          <w:rFonts w:ascii="Times New Roman" w:eastAsia="Times New Roman" w:hAnsi="Times New Roman" w:cs="Times New Roman"/>
          <w:szCs w:val="24"/>
          <w:lang w:eastAsia="tr-TR"/>
        </w:rPr>
        <w:t>.</w:t>
      </w:r>
    </w:p>
    <w:p w:rsidR="00812749" w:rsidRPr="003D5488"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OK.</w:t>
      </w:r>
    </w:p>
    <w:p w:rsidR="00812749" w:rsidRPr="003D5488"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S.O</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Selahattin [başvurucu] ve G., ikisi de kesin gelecek. </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K.Y</w:t>
      </w:r>
      <w:proofErr w:type="gramStart"/>
      <w:r w:rsidRPr="003D5488">
        <w:rPr>
          <w:rFonts w:ascii="Times New Roman" w:eastAsia="Times New Roman" w:hAnsi="Times New Roman" w:cs="Times New Roman"/>
          <w:szCs w:val="24"/>
          <w:lang w:eastAsia="tr-TR"/>
        </w:rPr>
        <w:t>.:</w:t>
      </w:r>
      <w:proofErr w:type="gramEnd"/>
      <w:r w:rsidRPr="003D5488">
        <w:rPr>
          <w:rFonts w:ascii="Times New Roman" w:eastAsia="Times New Roman" w:hAnsi="Times New Roman" w:cs="Times New Roman"/>
          <w:szCs w:val="24"/>
          <w:lang w:eastAsia="tr-TR"/>
        </w:rPr>
        <w:t xml:space="preserve"> F. ile </w:t>
      </w:r>
      <w:r w:rsidR="0088348C">
        <w:rPr>
          <w:rFonts w:ascii="Times New Roman" w:eastAsia="Times New Roman" w:hAnsi="Times New Roman" w:cs="Times New Roman"/>
          <w:szCs w:val="24"/>
          <w:lang w:eastAsia="tr-TR"/>
        </w:rPr>
        <w:t xml:space="preserve">konuştuk, </w:t>
      </w:r>
      <w:r w:rsidRPr="003D5488">
        <w:rPr>
          <w:rFonts w:ascii="Times New Roman" w:eastAsia="Times New Roman" w:hAnsi="Times New Roman" w:cs="Times New Roman"/>
          <w:szCs w:val="24"/>
          <w:lang w:eastAsia="tr-TR"/>
        </w:rPr>
        <w:t xml:space="preserve">bir yolunu bulduklarını söylediler. [Ben </w:t>
      </w:r>
      <w:r w:rsidRPr="0088348C">
        <w:rPr>
          <w:rFonts w:ascii="Times New Roman" w:eastAsia="Times New Roman" w:hAnsi="Times New Roman" w:cs="Times New Roman"/>
          <w:szCs w:val="24"/>
          <w:lang w:eastAsia="tr-TR"/>
        </w:rPr>
        <w:t xml:space="preserve">de tamam dedim eğer bir yolunu buldularsa] </w:t>
      </w:r>
    </w:p>
    <w:p w:rsidR="0088348C" w:rsidRPr="0088348C" w:rsidRDefault="00812749" w:rsidP="007A6A22">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S.O</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 xml:space="preserve">Formül yok, F. söyledi şimdi. </w:t>
      </w:r>
    </w:p>
    <w:p w:rsidR="00812749" w:rsidRPr="0088348C" w:rsidRDefault="00812749" w:rsidP="007A6A22">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Tamam</w:t>
      </w:r>
      <w:r w:rsidRPr="0088348C">
        <w:rPr>
          <w:rFonts w:ascii="Times New Roman" w:eastAsia="Times New Roman" w:hAnsi="Times New Roman" w:cs="Times New Roman"/>
          <w:szCs w:val="24"/>
          <w:lang w:eastAsia="tr-TR"/>
        </w:rPr>
        <w:t>.”</w:t>
      </w:r>
    </w:p>
    <w:p w:rsidR="00812749" w:rsidRPr="0088348C" w:rsidRDefault="00812749" w:rsidP="00724F6F">
      <w:pPr>
        <w:numPr>
          <w:ilvl w:val="1"/>
          <w:numId w:val="9"/>
        </w:numPr>
        <w:spacing w:after="0" w:line="276" w:lineRule="auto"/>
        <w:contextualSpacing/>
        <w:jc w:val="both"/>
        <w:rPr>
          <w:rFonts w:ascii="Times New Roman" w:hAnsi="Times New Roman" w:cs="Times New Roman"/>
          <w:b/>
          <w:bCs/>
          <w:szCs w:val="24"/>
        </w:rPr>
      </w:pPr>
      <w:r w:rsidRPr="0088348C">
        <w:rPr>
          <w:rFonts w:ascii="Times New Roman" w:hAnsi="Times New Roman" w:cs="Times New Roman"/>
          <w:szCs w:val="24"/>
        </w:rPr>
        <w:t xml:space="preserve">4 Aralık 2018’de başvurucu ile K.Y. arasında bir başka telefon konuşmasının ilgili kısımlarının transkripti şu şekildedir: </w:t>
      </w:r>
    </w:p>
    <w:p w:rsidR="00812749" w:rsidRP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0088348C" w:rsidRPr="0088348C">
        <w:t xml:space="preserve"> </w:t>
      </w:r>
      <w:proofErr w:type="spellStart"/>
      <w:r w:rsidR="0088348C" w:rsidRPr="0088348C">
        <w:rPr>
          <w:rFonts w:ascii="Times New Roman" w:eastAsia="Times New Roman" w:hAnsi="Times New Roman" w:cs="Times New Roman"/>
          <w:szCs w:val="24"/>
          <w:lang w:eastAsia="tr-TR"/>
        </w:rPr>
        <w:t>Sağol</w:t>
      </w:r>
      <w:proofErr w:type="spellEnd"/>
      <w:r w:rsidR="0088348C" w:rsidRPr="0088348C">
        <w:rPr>
          <w:rFonts w:ascii="Times New Roman" w:eastAsia="Times New Roman" w:hAnsi="Times New Roman" w:cs="Times New Roman"/>
          <w:szCs w:val="24"/>
          <w:lang w:eastAsia="tr-TR"/>
        </w:rPr>
        <w:t xml:space="preserve"> ya, </w:t>
      </w:r>
      <w:r w:rsidR="0088348C" w:rsidRPr="0088348C">
        <w:rPr>
          <w:rFonts w:ascii="Times New Roman" w:eastAsia="Times New Roman" w:hAnsi="Times New Roman" w:cs="Times New Roman"/>
          <w:szCs w:val="24"/>
          <w:lang w:eastAsia="tr-TR"/>
        </w:rPr>
        <w:tab/>
        <w:t>siz F. ile görüşüp çözdünüz değil mi o şeyi?</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lastRenderedPageBreak/>
        <w:t>[</w:t>
      </w:r>
      <w:r w:rsidR="0088348C" w:rsidRPr="0088348C">
        <w:rPr>
          <w:rFonts w:ascii="Times New Roman" w:eastAsia="Times New Roman" w:hAnsi="Times New Roman" w:cs="Times New Roman"/>
          <w:szCs w:val="24"/>
          <w:lang w:eastAsia="tr-TR"/>
        </w:rPr>
        <w:t>Başvurucu</w:t>
      </w:r>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 xml:space="preserve">F. ile görüştüm, konuyu </w:t>
      </w:r>
      <w:proofErr w:type="spellStart"/>
      <w:r w:rsidR="0088348C" w:rsidRPr="0088348C">
        <w:rPr>
          <w:rFonts w:ascii="Times New Roman" w:eastAsia="Times New Roman" w:hAnsi="Times New Roman" w:cs="Times New Roman"/>
          <w:szCs w:val="24"/>
          <w:lang w:eastAsia="tr-TR"/>
        </w:rPr>
        <w:t>S.’ye</w:t>
      </w:r>
      <w:proofErr w:type="spellEnd"/>
      <w:r w:rsidR="0088348C" w:rsidRPr="0088348C">
        <w:rPr>
          <w:rFonts w:ascii="Times New Roman" w:eastAsia="Times New Roman" w:hAnsi="Times New Roman" w:cs="Times New Roman"/>
          <w:szCs w:val="24"/>
          <w:lang w:eastAsia="tr-TR"/>
        </w:rPr>
        <w:t xml:space="preserve"> havale ettim. S. çözecekti, </w:t>
      </w:r>
      <w:proofErr w:type="spellStart"/>
      <w:r w:rsidR="0088348C" w:rsidRPr="0088348C">
        <w:rPr>
          <w:rFonts w:ascii="Times New Roman" w:eastAsia="Times New Roman" w:hAnsi="Times New Roman" w:cs="Times New Roman"/>
          <w:szCs w:val="24"/>
          <w:lang w:eastAsia="tr-TR"/>
        </w:rPr>
        <w:t>halletmşler</w:t>
      </w:r>
      <w:proofErr w:type="spellEnd"/>
      <w:r w:rsidR="0088348C" w:rsidRPr="0088348C">
        <w:rPr>
          <w:rFonts w:ascii="Times New Roman" w:eastAsia="Times New Roman" w:hAnsi="Times New Roman" w:cs="Times New Roman"/>
          <w:szCs w:val="24"/>
          <w:lang w:eastAsia="tr-TR"/>
        </w:rPr>
        <w:t xml:space="preserve">. </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Halletmişler mi?</w:t>
      </w:r>
    </w:p>
    <w:p w:rsidR="00812749" w:rsidRPr="0088348C" w:rsidRDefault="0088348C"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[Başvurucu]: Evet.</w:t>
      </w:r>
    </w:p>
    <w:p w:rsidR="0088348C" w:rsidRP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Valla ben onun ismini verdim, haberin olsun.</w:t>
      </w:r>
    </w:p>
    <w:p w:rsidR="00812749" w:rsidRPr="0088348C" w:rsidRDefault="00812749" w:rsidP="0088348C">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w:t>
      </w:r>
      <w:r w:rsidR="0088348C" w:rsidRPr="0088348C">
        <w:rPr>
          <w:rFonts w:ascii="Times New Roman" w:eastAsia="Times New Roman" w:hAnsi="Times New Roman" w:cs="Times New Roman"/>
          <w:szCs w:val="24"/>
          <w:lang w:eastAsia="tr-TR"/>
        </w:rPr>
        <w:t>Başvurucu</w:t>
      </w:r>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 xml:space="preserve">Tamam ben </w:t>
      </w:r>
      <w:proofErr w:type="spellStart"/>
      <w:r w:rsidR="0088348C" w:rsidRPr="0088348C">
        <w:rPr>
          <w:rFonts w:ascii="Times New Roman" w:eastAsia="Times New Roman" w:hAnsi="Times New Roman" w:cs="Times New Roman"/>
          <w:szCs w:val="24"/>
          <w:lang w:eastAsia="tr-TR"/>
        </w:rPr>
        <w:t>bi</w:t>
      </w:r>
      <w:proofErr w:type="spellEnd"/>
      <w:r w:rsidR="0088348C" w:rsidRPr="0088348C">
        <w:rPr>
          <w:rFonts w:ascii="Times New Roman" w:eastAsia="Times New Roman" w:hAnsi="Times New Roman" w:cs="Times New Roman"/>
          <w:szCs w:val="24"/>
          <w:lang w:eastAsia="tr-TR"/>
        </w:rPr>
        <w:t xml:space="preserve"> arayım bakıyım </w:t>
      </w:r>
      <w:proofErr w:type="gramStart"/>
      <w:r w:rsidR="0088348C" w:rsidRPr="0088348C">
        <w:rPr>
          <w:rFonts w:ascii="Times New Roman" w:eastAsia="Times New Roman" w:hAnsi="Times New Roman" w:cs="Times New Roman"/>
          <w:szCs w:val="24"/>
          <w:lang w:eastAsia="tr-TR"/>
        </w:rPr>
        <w:t>....</w:t>
      </w:r>
      <w:proofErr w:type="gramEnd"/>
      <w:r w:rsidR="0088348C" w:rsidRPr="0088348C">
        <w:rPr>
          <w:rFonts w:ascii="Times New Roman" w:eastAsia="Times New Roman" w:hAnsi="Times New Roman" w:cs="Times New Roman"/>
          <w:szCs w:val="24"/>
          <w:lang w:eastAsia="tr-TR"/>
        </w:rPr>
        <w:t xml:space="preserve"> </w:t>
      </w:r>
      <w:proofErr w:type="gramStart"/>
      <w:r w:rsidR="0088348C" w:rsidRPr="0088348C">
        <w:rPr>
          <w:rFonts w:ascii="Times New Roman" w:eastAsia="Times New Roman" w:hAnsi="Times New Roman" w:cs="Times New Roman"/>
          <w:szCs w:val="24"/>
          <w:lang w:eastAsia="tr-TR"/>
        </w:rPr>
        <w:t>çalışırım</w:t>
      </w:r>
      <w:proofErr w:type="gramEnd"/>
      <w:r w:rsidR="0088348C" w:rsidRPr="0088348C">
        <w:rPr>
          <w:rFonts w:ascii="Times New Roman" w:eastAsia="Times New Roman" w:hAnsi="Times New Roman" w:cs="Times New Roman"/>
          <w:szCs w:val="24"/>
          <w:lang w:eastAsia="tr-TR"/>
        </w:rPr>
        <w:t xml:space="preserve"> onu.</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Evet, 11’i. Yanlış söylemiş olmayayım ama evet, 11 Ocak.</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w:t>
      </w:r>
      <w:r w:rsidR="0088348C" w:rsidRPr="0088348C">
        <w:rPr>
          <w:rFonts w:ascii="Times New Roman" w:eastAsia="Times New Roman" w:hAnsi="Times New Roman" w:cs="Times New Roman"/>
          <w:szCs w:val="24"/>
          <w:lang w:eastAsia="tr-TR"/>
        </w:rPr>
        <w:t>Başvurucu]: [</w:t>
      </w:r>
      <w:proofErr w:type="spellStart"/>
      <w:r w:rsidR="0088348C" w:rsidRPr="0088348C">
        <w:rPr>
          <w:rFonts w:ascii="Times New Roman" w:eastAsia="Times New Roman" w:hAnsi="Times New Roman" w:cs="Times New Roman"/>
          <w:szCs w:val="24"/>
          <w:lang w:eastAsia="tr-TR"/>
        </w:rPr>
        <w:t>In</w:t>
      </w:r>
      <w:proofErr w:type="spellEnd"/>
      <w:r w:rsidR="0088348C" w:rsidRPr="0088348C">
        <w:rPr>
          <w:rFonts w:ascii="Times New Roman" w:eastAsia="Times New Roman" w:hAnsi="Times New Roman" w:cs="Times New Roman"/>
          <w:szCs w:val="24"/>
          <w:lang w:eastAsia="tr-TR"/>
        </w:rPr>
        <w:t>] Strazburg, değil mi?</w:t>
      </w:r>
    </w:p>
    <w:p w:rsidR="00812749" w:rsidRPr="0088348C" w:rsidRDefault="0088348C"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Evet, Strazburg.</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w:t>
      </w:r>
      <w:r w:rsidR="0088348C" w:rsidRPr="0088348C">
        <w:rPr>
          <w:rFonts w:ascii="Times New Roman" w:eastAsia="Times New Roman" w:hAnsi="Times New Roman" w:cs="Times New Roman"/>
          <w:szCs w:val="24"/>
          <w:lang w:eastAsia="tr-TR"/>
        </w:rPr>
        <w:t>Başvurucu</w:t>
      </w:r>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Tamam, ben de yarın netleştireyim, sana döneyim.</w:t>
      </w:r>
    </w:p>
    <w:p w:rsidR="00812749" w:rsidRPr="0088348C" w:rsidRDefault="00812749" w:rsidP="00724F6F">
      <w:pPr>
        <w:numPr>
          <w:ilvl w:val="0"/>
          <w:numId w:val="9"/>
        </w:numPr>
        <w:shd w:val="clear" w:color="auto" w:fill="FFFFFF"/>
        <w:spacing w:before="120" w:after="120" w:line="276" w:lineRule="auto"/>
        <w:jc w:val="both"/>
        <w:rPr>
          <w:rFonts w:ascii="Times New Roman" w:eastAsia="Times New Roman" w:hAnsi="Times New Roman" w:cs="Times New Roman"/>
          <w:szCs w:val="24"/>
          <w:lang w:eastAsia="tr-TR"/>
        </w:rPr>
      </w:pPr>
      <w:r w:rsidRPr="0088348C">
        <w:rPr>
          <w:rFonts w:ascii="Times New Roman" w:eastAsia="Times New Roman" w:hAnsi="Times New Roman" w:cs="Times New Roman"/>
          <w:szCs w:val="24"/>
          <w:lang w:eastAsia="tr-TR"/>
        </w:rPr>
        <w:t>K.Y</w:t>
      </w:r>
      <w:proofErr w:type="gramStart"/>
      <w:r w:rsidRPr="0088348C">
        <w:rPr>
          <w:rFonts w:ascii="Times New Roman" w:eastAsia="Times New Roman" w:hAnsi="Times New Roman" w:cs="Times New Roman"/>
          <w:szCs w:val="24"/>
          <w:lang w:eastAsia="tr-TR"/>
        </w:rPr>
        <w:t>.:</w:t>
      </w:r>
      <w:proofErr w:type="gramEnd"/>
      <w:r w:rsidRPr="0088348C">
        <w:rPr>
          <w:rFonts w:ascii="Times New Roman" w:eastAsia="Times New Roman" w:hAnsi="Times New Roman" w:cs="Times New Roman"/>
          <w:szCs w:val="24"/>
          <w:lang w:eastAsia="tr-TR"/>
        </w:rPr>
        <w:t xml:space="preserve"> </w:t>
      </w:r>
      <w:r w:rsidR="0088348C" w:rsidRPr="0088348C">
        <w:rPr>
          <w:rFonts w:ascii="Times New Roman" w:eastAsia="Times New Roman" w:hAnsi="Times New Roman" w:cs="Times New Roman"/>
          <w:szCs w:val="24"/>
          <w:lang w:eastAsia="tr-TR"/>
        </w:rPr>
        <w:t>Tamam, verdim ismini.</w:t>
      </w:r>
    </w:p>
    <w:p w:rsidR="00812749" w:rsidRPr="003D5488" w:rsidRDefault="00812749" w:rsidP="00724F6F">
      <w:pPr>
        <w:numPr>
          <w:ilvl w:val="0"/>
          <w:numId w:val="8"/>
        </w:numPr>
        <w:spacing w:after="0" w:line="276" w:lineRule="auto"/>
        <w:ind w:left="720" w:hanging="450"/>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Başvurucu, konuşmaları ve açıklamaları (ilgili kısımları yukarıdaki 26. ve 27. paragraflarda özetlenmiş) yoluyla 6 ile 8 Ekim 2014 tarihleri arasında yer alan şiddet olaylarını teşvik etmiştir. </w:t>
      </w:r>
    </w:p>
    <w:p w:rsidR="00812749" w:rsidRPr="003D5488" w:rsidRDefault="00812749" w:rsidP="00812749">
      <w:pPr>
        <w:spacing w:after="0" w:line="276" w:lineRule="auto"/>
        <w:jc w:val="both"/>
        <w:rPr>
          <w:rFonts w:ascii="Times New Roman" w:hAnsi="Times New Roman" w:cs="Times New Roman"/>
          <w:sz w:val="24"/>
          <w:szCs w:val="24"/>
        </w:rPr>
      </w:pPr>
      <w:bookmarkStart w:id="23" w:name="recoursdu1fevrier2017contreladetention"/>
      <w:r w:rsidRPr="003D5488">
        <w:rPr>
          <w:rFonts w:ascii="Times New Roman" w:eastAsia="Times New Roman" w:hAnsi="Times New Roman" w:cs="Times New Roman"/>
          <w:sz w:val="24"/>
          <w:szCs w:val="24"/>
          <w:lang w:eastAsia="tr-TR"/>
        </w:rPr>
        <w:t>80</w:t>
      </w:r>
      <w:bookmarkEnd w:id="23"/>
      <w:r w:rsidRPr="003D5488">
        <w:rPr>
          <w:rFonts w:ascii="Times New Roman" w:eastAsia="Times New Roman" w:hAnsi="Times New Roman" w:cs="Times New Roman"/>
          <w:sz w:val="24"/>
          <w:szCs w:val="24"/>
          <w:lang w:eastAsia="tr-TR"/>
        </w:rPr>
        <w:t xml:space="preserve">.  1 Şubat 2017 tarihinde başvurucu, bir kez daha itirazda bulunmuş ve tahliyesini talep etmiştir. </w:t>
      </w:r>
      <w:r w:rsidRPr="003D5488">
        <w:rPr>
          <w:rFonts w:ascii="Times New Roman" w:hAnsi="Times New Roman" w:cs="Times New Roman"/>
          <w:sz w:val="24"/>
          <w:szCs w:val="24"/>
        </w:rPr>
        <w:t xml:space="preserve">Bu bağlamda Anayasa’nın 83. maddesinde düzenlenen yasama sorumsuzluğundan yararlandığını ve bu nedenle milletvekillerinin Meclis’te belirtilen görüş ve düşüncelerini dışarıda tekrar etmelerinden dolayı sorumlu tutulamayacaklarını öne sürmüştür. Kendisinin tutuklu yargılanmasına neden olan suçlamaların temelinde Meclis’teki siyasi konuşmalarının yattığını ileri sürmüş, bu konuşmalarının Anayasa’nın 83. maddesi uyarınca korunduğunu belirtmiştir. Bilinmeyen bir tarihte bu itirazı reddedilmiştir. Taraflar buna ilişkin kararın bir nüshasını getirmemişlerdir.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81.  2 Şubat 2017 tarihinde Diyarbakır Ağır Ceza Mahkemesi, iddianameyi kabul etmiştir. Aynı gün, Ağır Ceza Mahkemesi, Adalet Bakanlığı’ndan kamu güvenliği gerekçesiyle başvurucunun davasının Ankara’ya nakledilmesini talep etmiştir. Aynı gün ayrıca, başvurucunun tutukluluk halinin devamına karar verilmiştir. </w:t>
      </w:r>
    </w:p>
    <w:p w:rsidR="00812749" w:rsidRPr="003D5488" w:rsidRDefault="00812749" w:rsidP="002A1CEF">
      <w:pPr>
        <w:spacing w:after="0" w:line="276" w:lineRule="auto"/>
        <w:jc w:val="both"/>
        <w:rPr>
          <w:rFonts w:ascii="Times New Roman" w:hAnsi="Times New Roman" w:cs="Times New Roman"/>
          <w:sz w:val="24"/>
          <w:szCs w:val="24"/>
        </w:rPr>
      </w:pPr>
      <w:proofErr w:type="gramStart"/>
      <w:r w:rsidRPr="003D5488">
        <w:rPr>
          <w:rFonts w:ascii="Times New Roman" w:eastAsia="Times New Roman" w:hAnsi="Times New Roman" w:cs="Times New Roman"/>
          <w:sz w:val="24"/>
          <w:szCs w:val="24"/>
          <w:lang w:eastAsia="tr-TR"/>
        </w:rPr>
        <w:t xml:space="preserve">82.  1 Mart 2017 </w:t>
      </w:r>
      <w:proofErr w:type="spellStart"/>
      <w:r w:rsidRPr="003D5488">
        <w:rPr>
          <w:rFonts w:ascii="Times New Roman" w:eastAsia="Times New Roman" w:hAnsi="Times New Roman" w:cs="Times New Roman"/>
          <w:sz w:val="24"/>
          <w:szCs w:val="24"/>
          <w:lang w:eastAsia="tr-TR"/>
        </w:rPr>
        <w:t>tarhinde</w:t>
      </w:r>
      <w:proofErr w:type="spellEnd"/>
      <w:r w:rsidRPr="003D5488">
        <w:rPr>
          <w:rFonts w:ascii="Times New Roman" w:eastAsia="Times New Roman" w:hAnsi="Times New Roman" w:cs="Times New Roman"/>
          <w:sz w:val="24"/>
          <w:szCs w:val="24"/>
          <w:lang w:eastAsia="tr-TR"/>
        </w:rPr>
        <w:t xml:space="preserve"> Diyarbakır Ağır Ceza Mahkemesi, olağan tutukluluk incelemesi yapmış ve </w:t>
      </w:r>
      <w:r w:rsidRPr="003D5488">
        <w:rPr>
          <w:rFonts w:ascii="Times New Roman" w:hAnsi="Times New Roman" w:cs="Times New Roman"/>
          <w:sz w:val="24"/>
          <w:szCs w:val="24"/>
        </w:rPr>
        <w:t xml:space="preserve">başvurucunun işlediği iddia edilen suçların sayısı ve doğası, kendisinin bu suçları işlediğine dair kuvvetli şüphe uyandıran somut delillerin varlığı, kendisinin halen herhangi bir savunma yapmadığı ve soruşturma devam ederken yetkili makamların önünde hazır </w:t>
      </w:r>
      <w:r w:rsidRPr="003D5488">
        <w:rPr>
          <w:rFonts w:ascii="Times New Roman" w:hAnsi="Times New Roman" w:cs="Times New Roman"/>
          <w:sz w:val="24"/>
          <w:szCs w:val="24"/>
        </w:rPr>
        <w:lastRenderedPageBreak/>
        <w:t xml:space="preserve">bulunmayı reddettiği göz önünde bulundurularak, işlediği iddia edilen suçların kapsamında olmasından hareketle Diyarbakır Asliye Ceza Mahkemesi başvurucunun tutuklu yargılanmasına neden olan koşullarda bir değişiklik olmadığına ve Ceza Muhakemesi Kanunu’nun 100. maddesinin 3. fıkrası uyarınca tutuklu yargılamasının devam edilmesi gerektiğine karar vermiştir. </w:t>
      </w:r>
      <w:proofErr w:type="gramEnd"/>
      <w:r w:rsidRPr="003D5488">
        <w:rPr>
          <w:rFonts w:ascii="Times New Roman" w:hAnsi="Times New Roman" w:cs="Times New Roman"/>
          <w:sz w:val="24"/>
          <w:szCs w:val="24"/>
        </w:rPr>
        <w:t>Hâkim, söz konusu suçlar için kanunda belirtilmiş cezaların ağırlığı göz önünde bulundurulduğunda başvurucunun devam eden tutukluluk halinin orantılı ve alternatif önlemlerin ise yeters</w:t>
      </w:r>
      <w:r w:rsidR="002A1CEF" w:rsidRPr="003D5488">
        <w:rPr>
          <w:rFonts w:ascii="Times New Roman" w:hAnsi="Times New Roman" w:cs="Times New Roman"/>
          <w:sz w:val="24"/>
          <w:szCs w:val="24"/>
        </w:rPr>
        <w:t>iz olduğuna kanaat getirmiştir.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83.  Bilinmeyen bir tarihte, başvurucu tutuk devam kararına itiraz etmiştir. </w:t>
      </w:r>
      <w:r w:rsidRPr="003D5488">
        <w:rPr>
          <w:rFonts w:ascii="Times New Roman" w:hAnsi="Times New Roman" w:cs="Times New Roman"/>
          <w:sz w:val="24"/>
          <w:szCs w:val="24"/>
        </w:rPr>
        <w:t>14 Mart 2017’de Diyarbakır Ağır Ceza Mahkemesi verdiği kararda söz konusu suçların doğası, delillerin durumu, başvurucunun tutuklu olarak geçirdiği süre, kendisinin bu suçları işlediğine dair var olan kuvvetli şüphe ve kendisinin soruşturma esnasında yetkili makamlar önünde hazır bulunmasını reddetmesi nedeniyle itirazı reddetmiştir.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84.  22 Mart 2017 tarihinde, Adalet Bakanlığı’nın talebiyle Yargıtay, kamu güvenliği gerekçesiyle başvurucunun davasının Ankara Ağır Ceza Mahkemesi’ne nakledilmesine karar vermiştir. </w:t>
      </w:r>
    </w:p>
    <w:p w:rsidR="00744963" w:rsidRPr="003D5488" w:rsidRDefault="00812749" w:rsidP="00744963">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85.  6 Nisan 2017 tarihinde Diyarbakır Ağır Ceza Mahkemesi, dosyayı Ankara Ağır C</w:t>
      </w:r>
      <w:r w:rsidR="00744963" w:rsidRPr="003D5488">
        <w:rPr>
          <w:rFonts w:ascii="Times New Roman" w:eastAsia="Times New Roman" w:hAnsi="Times New Roman" w:cs="Times New Roman"/>
          <w:sz w:val="24"/>
          <w:szCs w:val="24"/>
          <w:lang w:eastAsia="tr-TR"/>
        </w:rPr>
        <w:t xml:space="preserve">eza Mahkemesi’ne göndermiştir. </w:t>
      </w:r>
    </w:p>
    <w:p w:rsidR="00744963" w:rsidRPr="003D5488" w:rsidRDefault="00744963" w:rsidP="00744963">
      <w:pPr>
        <w:shd w:val="clear" w:color="auto" w:fill="FFFFFF"/>
        <w:spacing w:after="0" w:line="276" w:lineRule="auto"/>
        <w:ind w:firstLine="284"/>
        <w:jc w:val="both"/>
        <w:rPr>
          <w:rFonts w:ascii="Times New Roman" w:hAnsi="Times New Roman" w:cs="Times New Roman"/>
          <w:sz w:val="24"/>
          <w:szCs w:val="24"/>
        </w:rPr>
      </w:pPr>
      <w:r w:rsidRPr="003D5488">
        <w:rPr>
          <w:rFonts w:ascii="Times New Roman" w:eastAsia="Times New Roman" w:hAnsi="Times New Roman" w:cs="Times New Roman"/>
          <w:sz w:val="24"/>
          <w:szCs w:val="24"/>
          <w:lang w:eastAsia="tr-TR"/>
        </w:rPr>
        <w:t xml:space="preserve">86. </w:t>
      </w:r>
      <w:r w:rsidR="00812749" w:rsidRPr="003D5488">
        <w:rPr>
          <w:rFonts w:ascii="Times New Roman" w:eastAsia="Times New Roman" w:hAnsi="Times New Roman" w:cs="Times New Roman"/>
          <w:sz w:val="24"/>
          <w:szCs w:val="24"/>
          <w:lang w:eastAsia="tr-TR"/>
        </w:rPr>
        <w:t xml:space="preserve">22 Haziran 2017 tarihinde Ankara 19. Ağır Ceza Mahkemesi, olağan tutuk incelemesi yapmış ve </w:t>
      </w:r>
      <w:r w:rsidR="00812749" w:rsidRPr="003D5488">
        <w:rPr>
          <w:rFonts w:ascii="Times New Roman" w:hAnsi="Times New Roman" w:cs="Times New Roman"/>
          <w:sz w:val="24"/>
          <w:szCs w:val="24"/>
        </w:rPr>
        <w:t>başvurucunun tutuklu yargılanmasına devam edilmesine karar vermiştir. Mahkeme bu kararı başvurucunun bu suçları işlediğine dair kuvvetli bir şüphe uyandıran somut delillere ve söz konusu suçların cezalarının alt ve üst sınırlarına dayandırarak vermiştir. Mahkeme, daha sonra kargaşayı ve daha fazla suç işlenmesini önleme amacının Sözleşme’nin 5. maddesi ve AİHM’nin içtihadı ışığında tutuklu yargılama için haklı neden teşkil ettiğine karar vermiştir. Mahkeme ayrıca başvurucunun tutuklu olarak geçirdiği süre göz önünde bulundurulduğunda kendisinin kaçma ve delilleri karartma imkânı bulunduğundan bahsetmiştir. Mahkeme, bu nedenle alternatif tedbirlere başvurmanın tutuklu yargılamaya nazaran yetersi</w:t>
      </w:r>
      <w:r w:rsidRPr="003D5488">
        <w:rPr>
          <w:rFonts w:ascii="Times New Roman" w:hAnsi="Times New Roman" w:cs="Times New Roman"/>
          <w:sz w:val="24"/>
          <w:szCs w:val="24"/>
        </w:rPr>
        <w:t>z olacağına kanaat getirmiştir.</w:t>
      </w:r>
    </w:p>
    <w:p w:rsidR="00812749" w:rsidRPr="003D5488" w:rsidRDefault="00744963" w:rsidP="00744963">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hAnsi="Times New Roman" w:cs="Times New Roman"/>
          <w:sz w:val="24"/>
          <w:szCs w:val="24"/>
        </w:rPr>
        <w:t xml:space="preserve">87. </w:t>
      </w:r>
      <w:r w:rsidR="00812749" w:rsidRPr="003D5488">
        <w:rPr>
          <w:rFonts w:ascii="Times New Roman" w:eastAsia="Times New Roman" w:hAnsi="Times New Roman" w:cs="Times New Roman"/>
          <w:sz w:val="24"/>
          <w:szCs w:val="24"/>
          <w:lang w:eastAsia="tr-TR"/>
        </w:rPr>
        <w:t xml:space="preserve">3 Ekim 2017 tarihinde, bir önceki karardan 103 gün sonra, Ankara 19. Ağır Ceza Mahkemesi, başvurucunun tutukluluk halinin devamına karar vermiştir.  </w:t>
      </w:r>
      <w:proofErr w:type="gramStart"/>
      <w:r w:rsidR="00812749" w:rsidRPr="003D5488">
        <w:rPr>
          <w:rFonts w:ascii="Times New Roman" w:hAnsi="Times New Roman" w:cs="Times New Roman"/>
          <w:sz w:val="24"/>
          <w:szCs w:val="24"/>
        </w:rPr>
        <w:t xml:space="preserve">Mahkeme, başvurucu hakkındaki suçlamaların doğası ve sayısı, kendisinin bu suçları işlediğine dair kuvvetli bir şüphe uyandıracak somut delillerin varlığı, söz konusu suçlar için öngörülen cezaların alt ve üst sınırları, kendisinin henüz bir savunma yapmadığı ve soruşturma yürüten </w:t>
      </w:r>
      <w:r w:rsidR="00812749" w:rsidRPr="003D5488">
        <w:rPr>
          <w:rFonts w:ascii="Times New Roman" w:hAnsi="Times New Roman" w:cs="Times New Roman"/>
          <w:sz w:val="24"/>
          <w:szCs w:val="24"/>
        </w:rPr>
        <w:lastRenderedPageBreak/>
        <w:t xml:space="preserve">makamların önünde hazır bulunmayı reddettiği ve kendisinin tutuklu yargılanmasına neden olan hallerin değişmediği gerekçesiyle tutuklu yargılama kararının uzatılmasına karar vermiştir. </w:t>
      </w:r>
      <w:proofErr w:type="gramEnd"/>
      <w:r w:rsidR="00812749" w:rsidRPr="003D5488">
        <w:rPr>
          <w:rFonts w:ascii="Times New Roman" w:hAnsi="Times New Roman" w:cs="Times New Roman"/>
          <w:sz w:val="24"/>
          <w:szCs w:val="24"/>
        </w:rPr>
        <w:t xml:space="preserve">Mahkeme ayrıca başvurucunun söz konusu suçlardan hüküm giyebileceği ihtimalinden dolayı tutuklu yargılama nazaran diğer alternatif önlemlerin yetersiz olacağını belirtmiştir.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88.  16 Kasım 2017 tarihinde başvurucu, Ceza Muhakemesi Kanunu’nun 141. maddesi altında tazminat talebinde bulunmuştur. 11 Temmuz 2018 tarihinde ağır ceza mahkemesi, 21 Temmuz – 3 Ekim 2017 tarihleri arasında olağan tutuk incelemesi yapılmaması nedeniyle başvurucuya 10.000 TL (yaklaşık 1,890 Euro) tazminat ödenmesine karar vermiştir.</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89.  7 Aralık 2017 tarihinde Ankara 19. Ağır Ceza Mahkemesi’nde davanın ilk duruşması görülmüştür.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90.  Duruşma sırasında başvurucu, Cumhurbaşkanı tarafından yürütülen siyasetle ilgili eleştiriler görüşlerini dile getirdiği için tutuklandığını ve herhangi bir suç işlediği iddiasını reddettiğini dile getirmiştir. Başvurucu, tutuklama ve tutukluluk halinin devamı kararlarının hukuka aykırı olduğunu iddia etmiştir. Özellikle, başvurucu, özgürlüğünden alıkonulmasındaki amacın siyasi muhalifleri susturmak olduğunu ileri sürmüştür. </w:t>
      </w:r>
    </w:p>
    <w:p w:rsidR="00812749" w:rsidRPr="003D5488" w:rsidRDefault="00812749" w:rsidP="00812749">
      <w:pPr>
        <w:spacing w:after="0" w:line="276" w:lineRule="auto"/>
        <w:jc w:val="both"/>
        <w:rPr>
          <w:rFonts w:ascii="Times New Roman" w:eastAsia="Times New Roman" w:hAnsi="Times New Roman" w:cs="Times New Roman"/>
          <w:sz w:val="24"/>
          <w:szCs w:val="24"/>
          <w:lang w:eastAsia="tr-TR"/>
        </w:rPr>
      </w:pPr>
      <w:bookmarkStart w:id="24" w:name="petitiondu3avril2018"/>
      <w:r w:rsidRPr="003D5488">
        <w:rPr>
          <w:rFonts w:ascii="Times New Roman" w:eastAsia="Times New Roman" w:hAnsi="Times New Roman" w:cs="Times New Roman"/>
          <w:sz w:val="24"/>
          <w:szCs w:val="24"/>
          <w:lang w:eastAsia="tr-TR"/>
        </w:rPr>
        <w:t>91</w:t>
      </w:r>
      <w:bookmarkEnd w:id="24"/>
      <w:r w:rsidRPr="003D5488">
        <w:rPr>
          <w:rFonts w:ascii="Times New Roman" w:eastAsia="Times New Roman" w:hAnsi="Times New Roman" w:cs="Times New Roman"/>
          <w:sz w:val="24"/>
          <w:szCs w:val="24"/>
          <w:lang w:eastAsia="tr-TR"/>
        </w:rPr>
        <w:t xml:space="preserve">.  3 Nisan 2018 tarihinde başvurucu, Ankara 19. Ağır Ceza Mahkemesi’ne dilekçe vererek 2008-2016 yılları arasında milletvekili olarak yaptığı konuşmaları nedeniyle yargılandığını, Anayasa’nın 83. maddesi uyarınca yaptığı konuşmalar nedeniyle sorumlu tutulamayacağını belirtmiştir. Bu bağlamda, Ağır Ceza Mahkemesi’nden parlamentoda yaptığı konuşmalar ile dava konusu konuşmaların içeriğinin karşılaştırılmasını talep etmiştir. Ağır Ceza Mahkemesi, bu talebi kabul etmemiştir. </w:t>
      </w:r>
    </w:p>
    <w:p w:rsidR="00744963" w:rsidRPr="003D5488" w:rsidRDefault="00812749" w:rsidP="00744963">
      <w:pPr>
        <w:spacing w:after="0" w:line="276" w:lineRule="auto"/>
        <w:jc w:val="both"/>
        <w:rPr>
          <w:rFonts w:ascii="Times New Roman" w:hAnsi="Times New Roman" w:cs="Times New Roman"/>
          <w:sz w:val="24"/>
          <w:szCs w:val="24"/>
        </w:rPr>
      </w:pPr>
      <w:r w:rsidRPr="003D5488">
        <w:rPr>
          <w:rFonts w:ascii="Times New Roman" w:eastAsia="Times New Roman" w:hAnsi="Times New Roman" w:cs="Times New Roman"/>
          <w:sz w:val="24"/>
          <w:szCs w:val="24"/>
          <w:lang w:eastAsia="tr-TR"/>
        </w:rPr>
        <w:t xml:space="preserve">92.  Soruşturma ve kovuşturma sırasında başvurucu, pek çok kez devam eden tutukluluğuna itiraz etmiştir. </w:t>
      </w:r>
      <w:proofErr w:type="gramStart"/>
      <w:r w:rsidRPr="003D5488">
        <w:rPr>
          <w:rFonts w:ascii="Times New Roman" w:eastAsia="Times New Roman" w:hAnsi="Times New Roman" w:cs="Times New Roman"/>
          <w:sz w:val="24"/>
          <w:szCs w:val="24"/>
          <w:lang w:eastAsia="tr-TR"/>
        </w:rPr>
        <w:t xml:space="preserve">2 Eylül 2019 tarihine kadar yerel mahkemeler </w:t>
      </w:r>
      <w:r w:rsidRPr="003D5488">
        <w:rPr>
          <w:rFonts w:ascii="Times New Roman" w:hAnsi="Times New Roman" w:cs="Times New Roman"/>
          <w:sz w:val="24"/>
          <w:szCs w:val="24"/>
        </w:rPr>
        <w:t>tutukluluk halinin devamına karar vermiş ve şu sebeplere dayanmıştır: mevcut somut delillerin başvurucunun söz konusu suçları işlediğine dair kuvvetli şüphe uyandırması; söz konusu suçların sayısı, doğası ve Ceza Muhakemesi Kanunu’nun 100. maddesinin 3. fıkrasında yer alıyor olması; söz konusu suçlar için kanunda öngörülen cezaların ağırlığı; tutuklamaya nazaran alternatif tedbirlerin yetersiz kalacağı; başvurucunun soruşturma makamları önünde hazır bulunmayı reddetmesi; başvurucunun savunma yapmamış olması; delillerin durumu; tutuklu geçirilmiş süre;</w:t>
      </w:r>
      <w:r w:rsidR="00744963" w:rsidRPr="003D5488">
        <w:rPr>
          <w:rFonts w:ascii="Times New Roman" w:hAnsi="Times New Roman" w:cs="Times New Roman"/>
          <w:sz w:val="24"/>
          <w:szCs w:val="24"/>
        </w:rPr>
        <w:t xml:space="preserve"> kaçma ve delil karartma riski.</w:t>
      </w:r>
      <w:proofErr w:type="gramEnd"/>
    </w:p>
    <w:p w:rsidR="00744963" w:rsidRPr="003D5488" w:rsidRDefault="00744963" w:rsidP="00744963">
      <w:pPr>
        <w:spacing w:after="0" w:line="276" w:lineRule="auto"/>
        <w:jc w:val="both"/>
        <w:rPr>
          <w:rFonts w:ascii="Times New Roman" w:hAnsi="Times New Roman" w:cs="Times New Roman"/>
          <w:sz w:val="24"/>
          <w:szCs w:val="24"/>
        </w:rPr>
      </w:pPr>
      <w:r w:rsidRPr="003D5488">
        <w:rPr>
          <w:rFonts w:ascii="Times New Roman" w:hAnsi="Times New Roman" w:cs="Times New Roman"/>
          <w:sz w:val="24"/>
          <w:szCs w:val="24"/>
        </w:rPr>
        <w:lastRenderedPageBreak/>
        <w:t xml:space="preserve">93. </w:t>
      </w:r>
      <w:r w:rsidR="00812749" w:rsidRPr="003D5488">
        <w:rPr>
          <w:rFonts w:ascii="Times New Roman" w:eastAsia="Times New Roman" w:hAnsi="Times New Roman" w:cs="Times New Roman"/>
          <w:sz w:val="24"/>
          <w:szCs w:val="24"/>
          <w:lang w:eastAsia="tr-TR"/>
        </w:rPr>
        <w:t xml:space="preserve">2 Eylül 2019 tarihinde Ankara Ağır Ceza Mahkemesi, başka bir dava kapsamında tutuklu ya da hükümlü olmaması şartıyla başvurucunun serbest bırakılmasına karar vermiştir. Ayrıca, yurtdışına çıkmasının yasaklanmasına karar verilmiştir. </w:t>
      </w:r>
    </w:p>
    <w:p w:rsidR="00744963" w:rsidRPr="003D5488" w:rsidRDefault="00744963" w:rsidP="00744963">
      <w:pPr>
        <w:spacing w:after="0" w:line="276" w:lineRule="auto"/>
        <w:jc w:val="both"/>
        <w:rPr>
          <w:rFonts w:ascii="Times New Roman" w:eastAsia="Times New Roman" w:hAnsi="Times New Roman" w:cs="Times New Roman"/>
          <w:sz w:val="24"/>
          <w:szCs w:val="24"/>
          <w:lang w:eastAsia="tr-TR"/>
        </w:rPr>
      </w:pPr>
      <w:r w:rsidRPr="003D5488">
        <w:rPr>
          <w:rFonts w:ascii="Times New Roman" w:hAnsi="Times New Roman" w:cs="Times New Roman"/>
          <w:sz w:val="24"/>
          <w:szCs w:val="24"/>
        </w:rPr>
        <w:t>94.</w:t>
      </w:r>
      <w:r w:rsidR="00812749" w:rsidRPr="003D5488">
        <w:rPr>
          <w:rFonts w:ascii="Times New Roman" w:eastAsia="Times New Roman" w:hAnsi="Times New Roman" w:cs="Times New Roman"/>
          <w:sz w:val="24"/>
          <w:szCs w:val="24"/>
          <w:lang w:eastAsia="tr-TR"/>
        </w:rPr>
        <w:t> Bilinmeyen bir tarihte Ankara savcılığı, başvurucunun serbest bırakılması kararına itiraz etmiş, bilinmeyen bir tarihte bu itiraz, Ankara Ağır Ceza Mahke</w:t>
      </w:r>
      <w:r w:rsidRPr="003D5488">
        <w:rPr>
          <w:rFonts w:ascii="Times New Roman" w:eastAsia="Times New Roman" w:hAnsi="Times New Roman" w:cs="Times New Roman"/>
          <w:sz w:val="24"/>
          <w:szCs w:val="24"/>
          <w:lang w:eastAsia="tr-TR"/>
        </w:rPr>
        <w:t>mesi tarafından reddedilmiştir.</w:t>
      </w:r>
    </w:p>
    <w:p w:rsidR="00812749" w:rsidRPr="00DA1D16" w:rsidRDefault="00744963" w:rsidP="00744963">
      <w:pPr>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95. </w:t>
      </w:r>
      <w:r w:rsidR="00812749" w:rsidRPr="003D5488">
        <w:rPr>
          <w:rFonts w:ascii="Times New Roman" w:eastAsia="Times New Roman" w:hAnsi="Times New Roman" w:cs="Times New Roman"/>
          <w:sz w:val="24"/>
          <w:szCs w:val="24"/>
          <w:lang w:eastAsia="tr-TR"/>
        </w:rPr>
        <w:t>Ceza yargılaması, hala Ankara 19. Ağır Ceza Mahkemesi önünde derdesttir.</w:t>
      </w:r>
    </w:p>
    <w:p w:rsidR="00812749" w:rsidRPr="003D5488" w:rsidRDefault="00812749" w:rsidP="00812749">
      <w:pPr>
        <w:shd w:val="clear" w:color="auto" w:fill="FFFFFF"/>
        <w:spacing w:after="0" w:line="276" w:lineRule="auto"/>
        <w:jc w:val="both"/>
        <w:rPr>
          <w:rFonts w:ascii="Times New Roman" w:eastAsia="Times New Roman" w:hAnsi="Times New Roman" w:cs="Times New Roman"/>
          <w:sz w:val="24"/>
          <w:szCs w:val="24"/>
          <w:lang w:eastAsia="tr-TR"/>
        </w:rPr>
      </w:pPr>
    </w:p>
    <w:p w:rsidR="00812749" w:rsidRPr="003D5488" w:rsidRDefault="00812749" w:rsidP="00744963">
      <w:pPr>
        <w:pStyle w:val="Balk1"/>
        <w:rPr>
          <w:color w:val="auto"/>
        </w:rPr>
      </w:pPr>
      <w:r w:rsidRPr="003D5488">
        <w:rPr>
          <w:color w:val="auto"/>
        </w:rPr>
        <w:t xml:space="preserve">anayasa mahkemesi’ne yapılan ilk bireysel başvuru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96.  Dava dosyasından, başvurucunun Anayasa Mahkemesi’ne birçok başvuruda bulunduğu, birinin hala derdest olduğu anlaşılmaktadır. Somut davaya ve ağırlıklı olarak başvurucunun tutukluluğuna ilişkin başvuru, 17 Kasım 2016 tarihinde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2016/25189) Anayasa Mahkemesi’ne yapılmıştır. Anayasa Mahkemesi, 21 Aralık 2017 tarihinde kararını vermiş ve başvuruyu kabul edilemez bulmuştur. </w:t>
      </w:r>
      <w:bookmarkStart w:id="25" w:name="m_-5295234915099259449_complaintsinfirst"/>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97</w:t>
      </w:r>
      <w:bookmarkEnd w:id="25"/>
      <w:r w:rsidRPr="003D5488">
        <w:rPr>
          <w:rFonts w:ascii="Times New Roman" w:eastAsia="Times New Roman" w:hAnsi="Times New Roman" w:cs="Times New Roman"/>
          <w:sz w:val="24"/>
          <w:szCs w:val="24"/>
          <w:lang w:eastAsia="tr-TR"/>
        </w:rPr>
        <w:t xml:space="preserve">.  Başvurucu, bir siyasi partinin eş genel başkanı ve bir milletvekili olarak yaptığı siyasi açıklamaları nedeniyle yakalanıp gözaltına alındığını ve tutuklandığını iddia etmiştir. Başvurucu, yaptığı açıklamaların ifade özgürlüğü kapsamında olduğunu, suç işlediğini gösteren makul şüpheye dayalı hiçbir delil olmadığını ileri sürmüştür. Ek olarak, özgürlüğünden mahrum bırakılan bir kişinin hızla </w:t>
      </w:r>
      <w:r w:rsidR="00744963" w:rsidRPr="003D5488">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 önüne çıkartılması gerektiğini ve tutukluluğun süresinin makul süreyi aşmaması gerektiğini belirtmiştir. Başvurucu ayrıca, yerel mahkemeler tarafından tu</w:t>
      </w:r>
      <w:r w:rsidR="00744963" w:rsidRPr="003D5488">
        <w:rPr>
          <w:rFonts w:ascii="Times New Roman" w:eastAsia="Times New Roman" w:hAnsi="Times New Roman" w:cs="Times New Roman"/>
          <w:sz w:val="24"/>
          <w:szCs w:val="24"/>
          <w:lang w:eastAsia="tr-TR"/>
        </w:rPr>
        <w:t>tukluluğunu meşrulaştırmak için</w:t>
      </w:r>
      <w:r w:rsidRPr="003D5488">
        <w:rPr>
          <w:rFonts w:ascii="Times New Roman" w:eastAsia="Times New Roman" w:hAnsi="Times New Roman" w:cs="Times New Roman"/>
          <w:sz w:val="24"/>
          <w:szCs w:val="24"/>
          <w:lang w:eastAsia="tr-TR"/>
        </w:rPr>
        <w:t xml:space="preserve"> gösterilen gerekçelerin yetersizliğinden </w:t>
      </w:r>
      <w:r w:rsidR="00744963"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 etmiştir. Verilecek cezanın ağırlığının kaçma şüphesi için yeterli olmadığını, alternatif tedbirlerin uygulanmadığını, soruşturma dosyasına erişiminin olmadığını ve son olarak, bir milletvekili olarak tutukluluğunun seçim hakkına aykırı olduğunu ileri sürmüştür.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98.  Başvurucunun yakalanıp gözaltına alınmasına yönelik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 bakımından Anayasa Mahkemesi, başvurucunun Ceza Muhakemesi Kanunu’nun 141. maddesi uyarınca tazminat davası açması gerektiğini ancak bu davayı açmadığını belirtilmiştir. Dahası</w:t>
      </w:r>
      <w:r w:rsidR="008B68C0">
        <w:rPr>
          <w:rFonts w:ascii="Times New Roman" w:eastAsia="Times New Roman" w:hAnsi="Times New Roman" w:cs="Times New Roman"/>
          <w:sz w:val="24"/>
          <w:szCs w:val="24"/>
          <w:lang w:eastAsia="tr-TR"/>
        </w:rPr>
        <w:t xml:space="preserve">, Ceza Muhakemesi Kanunu’nun 91. maddesinin 5. fıkrası </w:t>
      </w:r>
      <w:r w:rsidRPr="003D5488">
        <w:rPr>
          <w:rFonts w:ascii="Times New Roman" w:eastAsia="Times New Roman" w:hAnsi="Times New Roman" w:cs="Times New Roman"/>
          <w:sz w:val="24"/>
          <w:szCs w:val="24"/>
          <w:lang w:eastAsia="tr-TR"/>
        </w:rPr>
        <w:t xml:space="preserve">altında gözaltı kararına itiraz </w:t>
      </w:r>
      <w:r w:rsidRPr="003D5488">
        <w:rPr>
          <w:rFonts w:ascii="Times New Roman" w:eastAsia="Times New Roman" w:hAnsi="Times New Roman" w:cs="Times New Roman"/>
          <w:sz w:val="24"/>
          <w:szCs w:val="24"/>
          <w:lang w:eastAsia="tr-TR"/>
        </w:rPr>
        <w:lastRenderedPageBreak/>
        <w:t xml:space="preserve">edilmediğini not etmiştir. Bu sebeple, </w:t>
      </w:r>
      <w:r w:rsidR="00744963" w:rsidRPr="003D5488">
        <w:rPr>
          <w:rFonts w:ascii="Times New Roman" w:eastAsia="Times New Roman" w:hAnsi="Times New Roman" w:cs="Times New Roman"/>
          <w:sz w:val="24"/>
          <w:szCs w:val="24"/>
          <w:lang w:eastAsia="tr-TR"/>
        </w:rPr>
        <w:t>şikâyeti</w:t>
      </w:r>
      <w:r w:rsidRPr="003D5488">
        <w:rPr>
          <w:rFonts w:ascii="Times New Roman" w:eastAsia="Times New Roman" w:hAnsi="Times New Roman" w:cs="Times New Roman"/>
          <w:sz w:val="24"/>
          <w:szCs w:val="24"/>
          <w:lang w:eastAsia="tr-TR"/>
        </w:rPr>
        <w:t xml:space="preserve">, iç hukuk yolları tüketilmediği gerekçesiyle kabul edilemez bulmuştur.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99.  Tutuklamanın hukukiliğine ilişkin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 yönünden ise, Anayasa Mahkemesi, 20 Mayıs 2016’da yapılan Anayasa değişikliğinin dokunulmazlıkların kaldırılmasına </w:t>
      </w:r>
      <w:r w:rsidR="00DA1D16">
        <w:rPr>
          <w:rFonts w:ascii="Times New Roman" w:eastAsia="Times New Roman" w:hAnsi="Times New Roman" w:cs="Times New Roman"/>
          <w:sz w:val="24"/>
          <w:szCs w:val="24"/>
          <w:lang w:eastAsia="tr-TR"/>
        </w:rPr>
        <w:t>imkân</w:t>
      </w:r>
      <w:r w:rsidRPr="003D5488">
        <w:rPr>
          <w:rFonts w:ascii="Times New Roman" w:eastAsia="Times New Roman" w:hAnsi="Times New Roman" w:cs="Times New Roman"/>
          <w:sz w:val="24"/>
          <w:szCs w:val="24"/>
          <w:lang w:eastAsia="tr-TR"/>
        </w:rPr>
        <w:t xml:space="preserve"> tanıdığını belirterek, başvurucunun tutuklama ve tutukluluk halinin devamı kararlarının hukuki dayanağı olmadığı iddiasını reddetmiştir.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100.  Daha sonra Anayasa Mahkemesi, başvurucunun suç işlediğine ilişkin kuvvetli suç şüphesi olup olmadığını değerlendirmiştir. Bu bağlamda, 6-8 Ekim 2014 tarihinde yaşanan olaylar sırasında hayatını kaybeden ve yaralanan insan sayısını dikkate alan Anayasa Mahkemesi, başvurucunun eş genel başkanı olduğu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çağrısı ile söz konusu şiddet olayları arasında illiyet bağı olduğunu not etmiştir. Dahası, “hendek olayları” yönünden Anayasa Mahkemesi, başvurucunun yaptığı açıklamaları, bu açıklamaları yaptığı yerleri ve HDP eş genel başkanlığı pozisyonunu düşünerek, terörle bağlantılı suçlarla suçlanmasının gerekçeden yoksun olmadığına karar vermiştir. Başvurucunun 13 Kasım 2012 ve 21 Nisan 2013 tarihlerinde yaptığı iki konuşmanın (bakınız 79. paragraf) içeriğini dikkate alarak, suç işlendiğine dair tartışmasız bir belirti olduğunu belirtmiştir. Son olarak, PKK yetkililerinin başvurucu ile arasında geçtiği iddia edilen konuşmaların içeriğine bakarak, başvurucunun terör örgütü liderlerinin talimatıyla hareket etmiş olabileceğine karar vermenin meşru olduğuna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101.  Anayasa Mahkemesi daha sonra başvurucunun tutukluluğunun meşru bir amacı olup olmadığını incelemiştir. Başvurucunun suç işlediğine dair kuvvetli suç şüphesinin varlığına karar verildikten sonra, Diyarbakır 2. Sulh Ceza Mahkemesi tarafından başvurucunun Ceza Muhakemesi Kanunu’nun 100 § 3 maddesinde </w:t>
      </w:r>
      <w:proofErr w:type="spellStart"/>
      <w:r w:rsidRPr="003D5488">
        <w:rPr>
          <w:rFonts w:ascii="Times New Roman" w:eastAsia="Times New Roman" w:hAnsi="Times New Roman" w:cs="Times New Roman"/>
          <w:sz w:val="24"/>
          <w:szCs w:val="24"/>
          <w:lang w:eastAsia="tr-TR"/>
        </w:rPr>
        <w:t>listenen</w:t>
      </w:r>
      <w:proofErr w:type="spellEnd"/>
      <w:r w:rsidRPr="003D5488">
        <w:rPr>
          <w:rFonts w:ascii="Times New Roman" w:eastAsia="Times New Roman" w:hAnsi="Times New Roman" w:cs="Times New Roman"/>
          <w:sz w:val="24"/>
          <w:szCs w:val="24"/>
          <w:lang w:eastAsia="tr-TR"/>
        </w:rPr>
        <w:t xml:space="preserve"> suçlardan birini işlediği iddiasıyla tutuklanmasına karar verilmiştir. Anayasa Mahkemesi, verilebilecek cezaların ağırlığını kaçma şüphesini değerlendirirken dikkate alınması gereken bir faktör olarak görmüştür. Başvurucunun soruşturma makamları önüne çıkmayı reddetmesini ve partisinin milletvekillerinin gönüllü olarak ifade vermeye gitmeyeceği açıklamasını da eklemiştir. Mahkeme’nin görüşüne göre bunlar, kaçma şüphesi olduğuna karar vermek için yeterlidir. Bu sebeple Anayasa Mahkemesi, başvurucunun tutuklanmasının meşru bir amacı olduğuna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102.  Anayasa Mahkemesi daha sonra başvurucunun tutukluluğunun istenilen amaç ile orantılı olup olmadığını değerlendirmiştir. Bu bağlamda </w:t>
      </w:r>
      <w:r w:rsidRPr="003D5488">
        <w:rPr>
          <w:rFonts w:ascii="Times New Roman" w:eastAsia="Times New Roman" w:hAnsi="Times New Roman" w:cs="Times New Roman"/>
          <w:sz w:val="24"/>
          <w:szCs w:val="24"/>
          <w:lang w:eastAsia="tr-TR"/>
        </w:rPr>
        <w:lastRenderedPageBreak/>
        <w:t xml:space="preserve">başvurucu, tutukluluğunun siyasi faaliyet yürütmesini engellediğini iddia etmiştir. Anayasa Mahkemesi’nin tutuklu milletvekilleriyle ilgili bazı kararlarına referans vererek başvurucu, tutukluluğunun ölçüsüz olduğundan yakınmıştır. Bu bağlamda Anayasa Mahkemesi ilk olarak, başvurucunun iddialarının aksine, dokunulmazlığı kaldırılan bir milletvekilinin tutuklanmasının kendisinin Anayasa’ya aykırı olduğuna dair hiçbir kararı olmadığını belirtmiştir. Anayasa Mahkemesi daha sonra, başvurucunun bu suçları işlediği iddia edilen tarihten uzun bir zaman sonra tutuklandığını not etmiş, tutuklamanın gerekli olup olmadığını incelemek zorunda kalmıştır. Bu bağlamda, Anayasa’nın 83. maddesi ile uyumlu olarak, dokunulmazlıktan yararlandığı sırada başvurucunun hiçbir zaman tutuklanmadığını işaret etmiştir. Fezlekelerin, ilgili savcılıklara anayasa değişikliğinin yürürlüğe girmesinin ardından gönderildiğini, başvurucunun bundan beş ay sonra tutuklandığını not etmiştir. Soruşturma makamlarının bu süreçte hareketsiz kalmadıkları dava dosyasındaki delillerden açıkça anlaşılmaktadır. Anayasa Mahkemesi, özellikle isnat edilen suçların ağırlığını dikkate alınca, başvurucunun tutukluluğunun orantısız ve keyfi olduğuna karar vermenin mümkün olmadığını eklemiştir. Bu sebeplerle, başvurunun bu kısmını açıkça dayanaktan yoksun olduğu gerekçesiyle kabul edilemez bulmuştur.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103.  Sözleşme’nin </w:t>
      </w:r>
      <w:r w:rsidR="007E3DD1" w:rsidRPr="003D5488">
        <w:rPr>
          <w:rFonts w:ascii="Times New Roman" w:eastAsia="Times New Roman" w:hAnsi="Times New Roman" w:cs="Times New Roman"/>
          <w:sz w:val="24"/>
          <w:szCs w:val="24"/>
          <w:lang w:eastAsia="tr-TR"/>
        </w:rPr>
        <w:t xml:space="preserve">5. maddesinin 3. fıkrası </w:t>
      </w:r>
      <w:r w:rsidRPr="003D5488">
        <w:rPr>
          <w:rFonts w:ascii="Times New Roman" w:eastAsia="Times New Roman" w:hAnsi="Times New Roman" w:cs="Times New Roman"/>
          <w:sz w:val="24"/>
          <w:szCs w:val="24"/>
          <w:lang w:eastAsia="tr-TR"/>
        </w:rPr>
        <w:t xml:space="preserve">bakımından Anayasa Mahkemesi, başvurucunun başvuru formunda tutukluluğunun devamını </w:t>
      </w:r>
      <w:proofErr w:type="spellStart"/>
      <w:r w:rsidRPr="003D5488">
        <w:rPr>
          <w:rFonts w:ascii="Times New Roman" w:eastAsia="Times New Roman" w:hAnsi="Times New Roman" w:cs="Times New Roman"/>
          <w:sz w:val="24"/>
          <w:szCs w:val="24"/>
          <w:lang w:eastAsia="tr-TR"/>
        </w:rPr>
        <w:t>haklılaştıracak</w:t>
      </w:r>
      <w:proofErr w:type="spellEnd"/>
      <w:r w:rsidRPr="003D5488">
        <w:rPr>
          <w:rFonts w:ascii="Times New Roman" w:eastAsia="Times New Roman" w:hAnsi="Times New Roman" w:cs="Times New Roman"/>
          <w:sz w:val="24"/>
          <w:szCs w:val="24"/>
          <w:lang w:eastAsia="tr-TR"/>
        </w:rPr>
        <w:t xml:space="preserve"> ilgili ve yeterli gerekçelerin olmadığından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 etmediğini gözlemlemiştir. (bakınız Anayasa Mahkemesi kararının 118. paragrafı) Bu iddianın ilk kez Adalet Bakanlığı savunmalarına cevap aşamasında dile getirildiğini belirtmiş, başvurucunun isterse bu konuda yeni bir bireysel başvuruda bulunabileceğini ekleyerek, bu </w:t>
      </w:r>
      <w:r w:rsidR="007E3DD1" w:rsidRPr="003D5488">
        <w:rPr>
          <w:rFonts w:ascii="Times New Roman" w:eastAsia="Times New Roman" w:hAnsi="Times New Roman" w:cs="Times New Roman"/>
          <w:sz w:val="24"/>
          <w:szCs w:val="24"/>
          <w:lang w:eastAsia="tr-TR"/>
        </w:rPr>
        <w:t>şikâyeti</w:t>
      </w:r>
      <w:r w:rsidRPr="003D5488">
        <w:rPr>
          <w:rFonts w:ascii="Times New Roman" w:eastAsia="Times New Roman" w:hAnsi="Times New Roman" w:cs="Times New Roman"/>
          <w:sz w:val="24"/>
          <w:szCs w:val="24"/>
          <w:lang w:eastAsia="tr-TR"/>
        </w:rPr>
        <w:t xml:space="preserve"> incelememeye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104.  Sözleşme’nin 18. maddesi altındaki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 yönünden Anayasa Mahkemesi, başvurucunun tutukluluğuna ilişkin vardığı sonuç doğrultusunda, bu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in ayrıca incelenmesine gerek olmadığına karar vermiştir.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105.  Soruşturma dosyasına erişiminin olmaması yönünden Anayasa Mahkemesi, başvurucunun suçlamalara karşı savunmasını hazırlayabilmek ve itiraz edebilmek için yeterli </w:t>
      </w:r>
      <w:r w:rsidR="00DA1D16">
        <w:rPr>
          <w:rFonts w:ascii="Times New Roman" w:eastAsia="Times New Roman" w:hAnsi="Times New Roman" w:cs="Times New Roman"/>
          <w:sz w:val="24"/>
          <w:szCs w:val="24"/>
          <w:lang w:eastAsia="tr-TR"/>
        </w:rPr>
        <w:t>imkân</w:t>
      </w:r>
      <w:r w:rsidRPr="003D5488">
        <w:rPr>
          <w:rFonts w:ascii="Times New Roman" w:eastAsia="Times New Roman" w:hAnsi="Times New Roman" w:cs="Times New Roman"/>
          <w:sz w:val="24"/>
          <w:szCs w:val="24"/>
          <w:lang w:eastAsia="tr-TR"/>
        </w:rPr>
        <w:t xml:space="preserve">ı olduğunu söyleyerek bu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i açıkça dayanaktan yoksun bularak reddetmiştir.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106. Son olarak, ifade özgürlüğü ve serbest seçim hakkı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leri bakımından Anayasa Mahkemesi, başvurucunun tutukluluğunun </w:t>
      </w:r>
      <w:r w:rsidRPr="003D5488">
        <w:rPr>
          <w:rFonts w:ascii="Times New Roman" w:eastAsia="Times New Roman" w:hAnsi="Times New Roman" w:cs="Times New Roman"/>
          <w:sz w:val="24"/>
          <w:szCs w:val="24"/>
          <w:lang w:eastAsia="tr-TR"/>
        </w:rPr>
        <w:lastRenderedPageBreak/>
        <w:t xml:space="preserve">hukukiliğine dair vardığı sonuç doğrultusunda, bu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leri de açıkça dayanaktan yoksun bularak reddetmiştir.  </w:t>
      </w:r>
    </w:p>
    <w:p w:rsidR="00812749" w:rsidRPr="003D5488" w:rsidRDefault="00812749" w:rsidP="00812749">
      <w:pPr>
        <w:shd w:val="clear" w:color="auto" w:fill="FFFFFF"/>
        <w:spacing w:after="0" w:line="276" w:lineRule="auto"/>
        <w:ind w:firstLine="284"/>
        <w:jc w:val="both"/>
        <w:rPr>
          <w:rFonts w:ascii="Times New Roman" w:eastAsia="Times New Roman" w:hAnsi="Times New Roman" w:cs="Times New Roman"/>
          <w:sz w:val="24"/>
          <w:szCs w:val="24"/>
          <w:lang w:eastAsia="tr-TR"/>
        </w:rPr>
      </w:pPr>
      <w:proofErr w:type="gramStart"/>
      <w:r w:rsidRPr="003D5488">
        <w:rPr>
          <w:rFonts w:ascii="Times New Roman" w:eastAsia="Times New Roman" w:hAnsi="Times New Roman" w:cs="Times New Roman"/>
          <w:sz w:val="24"/>
          <w:szCs w:val="24"/>
          <w:lang w:eastAsia="tr-TR"/>
        </w:rPr>
        <w:t xml:space="preserve">107.  Azınlıkta kalan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 Engin Yıldırım, karşı oy yazısında, çoğunluk gibi, dava dosyasındaki delilleri dikkate alarak başvurucunun bu suçu işlediğine dair kuvvetli bir şüphe olduğunu, ancak, Mahkeme’nin içtihatlarına, özellikle </w:t>
      </w:r>
      <w:proofErr w:type="spellStart"/>
      <w:r w:rsidRPr="003D5488">
        <w:rPr>
          <w:rFonts w:ascii="Times New Roman" w:eastAsia="Times New Roman" w:hAnsi="Times New Roman" w:cs="Times New Roman"/>
          <w:i/>
          <w:iCs/>
          <w:sz w:val="24"/>
          <w:szCs w:val="24"/>
          <w:lang w:eastAsia="tr-TR"/>
        </w:rPr>
        <w:t>Buzadji</w:t>
      </w:r>
      <w:proofErr w:type="spellEnd"/>
      <w:r w:rsidRPr="003D5488">
        <w:rPr>
          <w:rFonts w:ascii="Times New Roman" w:eastAsia="Times New Roman" w:hAnsi="Times New Roman" w:cs="Times New Roman"/>
          <w:i/>
          <w:iCs/>
          <w:sz w:val="24"/>
          <w:szCs w:val="24"/>
          <w:lang w:eastAsia="tr-TR"/>
        </w:rPr>
        <w:t xml:space="preserve"> v. Moldova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23755/07, 5 Temmuz 2016) kararına atıfta bulunarak başvurucunun tutuklanmasının orantılı olmadığını, bunu meşrulaştıracak ilgili ve yeterli gerekçelerin gösterilmediğini belirtmiştir. </w:t>
      </w:r>
      <w:proofErr w:type="gramEnd"/>
      <w:r w:rsidRPr="003D5488">
        <w:rPr>
          <w:rFonts w:ascii="Times New Roman" w:eastAsia="Times New Roman" w:hAnsi="Times New Roman" w:cs="Times New Roman"/>
          <w:sz w:val="24"/>
          <w:szCs w:val="24"/>
          <w:lang w:eastAsia="tr-TR"/>
        </w:rPr>
        <w:t xml:space="preserve">Yıldırım’ın görüşüne göre, başvurucunun tutukluluğuna karşı neden alternatif tedbirlere başvurmanın yetersiz kalacağı, yargısal makamlar tarafından yeterli bir şekilde açıklanmamıştır. Kaçma şüphesine gelince, Yıldırım, ilk olarak bu riskin dayandırıldığı iki gerekçeyi not etmiş ancak bu gerekçelerin bir kişinin tutuklanmasını haklı kılmayacağını belirtmiştir. Muhalif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 Anayasa değişikliğinin yürürlüğe girerek başvurucunun dokunulmazlığının kaldırıldığı tarih ile başvurucunun tutuklandığı tarih arasında başvurucunun en az on kez yurtdışına çıktığını ve hiçbir zaman kaçmaya teşebbüs etmediğini eklemiştir. Bu sebeplerle, başvurucunun davasında Anayasa’nın 19. maddesinin ihlal edildiği görüşündedir. Başvurucunun bir milletvekili ve beş milyondan fazla oy almış bir siyasi partinin eş genel başkanı olduğunu ekleyerek, ilgili ve yeterli gerekçe olmadan başvurucunun tutuklanmasının Anayasa’nın 67. maddesinde güvence altına alınan seçme, seçilme ve siyasi faaliyetlere katılma hakkını ihlal ettiğine karar vermiştir. </w:t>
      </w:r>
    </w:p>
    <w:p w:rsidR="00812749" w:rsidRPr="003D5488" w:rsidRDefault="00812749" w:rsidP="007E3DD1">
      <w:pPr>
        <w:shd w:val="clear" w:color="auto" w:fill="FFFFFF"/>
        <w:spacing w:after="0" w:line="276" w:lineRule="auto"/>
        <w:jc w:val="both"/>
        <w:rPr>
          <w:rFonts w:ascii="Times New Roman" w:eastAsia="Times New Roman" w:hAnsi="Times New Roman" w:cs="Times New Roman"/>
          <w:sz w:val="24"/>
          <w:szCs w:val="24"/>
          <w:lang w:eastAsia="tr-TR"/>
        </w:rPr>
      </w:pPr>
    </w:p>
    <w:p w:rsidR="00812749" w:rsidRPr="003D5488" w:rsidRDefault="00812749" w:rsidP="007E3DD1">
      <w:pPr>
        <w:pStyle w:val="Balk1"/>
        <w:rPr>
          <w:color w:val="auto"/>
        </w:rPr>
      </w:pPr>
      <w:r w:rsidRPr="003D5488">
        <w:rPr>
          <w:color w:val="auto"/>
        </w:rPr>
        <w:t>İSTANBUL AĞIR CEZA MAHKEMESİNDEKİ CEZA YARGILAMASI</w:t>
      </w:r>
    </w:p>
    <w:p w:rsidR="004409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108. Bilinmeyen bir tarihte, İstanbul Cumhuriyet Savcılığı, terör örgütü propagandası yaptığı iddiasıyla başvurucu hakkında </w:t>
      </w:r>
      <w:r w:rsidR="00440949" w:rsidRPr="003D5488">
        <w:rPr>
          <w:rFonts w:ascii="Times New Roman" w:hAnsi="Times New Roman" w:cs="Times New Roman"/>
          <w:sz w:val="24"/>
          <w:szCs w:val="24"/>
        </w:rPr>
        <w:t>ceza soruşturması başlatmıştır.</w:t>
      </w:r>
    </w:p>
    <w:p w:rsidR="00812749" w:rsidRPr="003D5488" w:rsidRDefault="004409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109. </w:t>
      </w:r>
      <w:r w:rsidR="00812749" w:rsidRPr="003D5488">
        <w:rPr>
          <w:rFonts w:ascii="Times New Roman" w:hAnsi="Times New Roman" w:cs="Times New Roman"/>
          <w:sz w:val="24"/>
          <w:szCs w:val="24"/>
        </w:rPr>
        <w:t xml:space="preserve">Ceza yargılamasının sonunda, 7 Eylül 2018 tarihli kararıyla İstanbul Ağır Ceza Mahkemesi, Terörle Mücadele Kanunu’nun 7/2 maddesi uyarınca 17 Mart 2013 tarihinde İstanbul’daki bir eylemde yaptığı konuşmada terör örgütünün propagandasını yaptığı gerekçesiyle başvurucunun 4 yıl 8 ay hapis cezasıyla cezalandırılmasına karar vermiştir. </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110. İstanbul İstinaf Mahkemesi, 4 Aralık 2018 tarihinde başvurucuya hapis cezası veren ilk derece kararını nihai olarak onamıştır.</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lastRenderedPageBreak/>
        <w:t>111. 7 Aralık 2018 tarihinde, başvurucu, dört yıl sekiz ay hapis cezasını çekmeye başlamıştır.</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112. 24 Ekim 2019 tarihinde 7188 sayılı Kanun’la Ceza Muhakemesi Kanunu’nda değişik yapılmasına ilişkin düzenleme Resmi </w:t>
      </w:r>
      <w:proofErr w:type="spellStart"/>
      <w:r w:rsidRPr="003D5488">
        <w:rPr>
          <w:rFonts w:ascii="Times New Roman" w:hAnsi="Times New Roman" w:cs="Times New Roman"/>
          <w:sz w:val="24"/>
          <w:szCs w:val="24"/>
        </w:rPr>
        <w:t>Gazete’de</w:t>
      </w:r>
      <w:proofErr w:type="spellEnd"/>
      <w:r w:rsidRPr="003D5488">
        <w:rPr>
          <w:rFonts w:ascii="Times New Roman" w:hAnsi="Times New Roman" w:cs="Times New Roman"/>
          <w:sz w:val="24"/>
          <w:szCs w:val="24"/>
        </w:rPr>
        <w:t xml:space="preserve"> yayımlanmıştır. Buna göre, Terörle Mücadele Kanunu’nun 7/2 maddesinden verilen kesinleşmiş </w:t>
      </w:r>
      <w:proofErr w:type="gramStart"/>
      <w:r w:rsidRPr="003D5488">
        <w:rPr>
          <w:rFonts w:ascii="Times New Roman" w:hAnsi="Times New Roman" w:cs="Times New Roman"/>
          <w:sz w:val="24"/>
          <w:szCs w:val="24"/>
        </w:rPr>
        <w:t>mahkumiyet</w:t>
      </w:r>
      <w:proofErr w:type="gramEnd"/>
      <w:r w:rsidRPr="003D5488">
        <w:rPr>
          <w:rFonts w:ascii="Times New Roman" w:hAnsi="Times New Roman" w:cs="Times New Roman"/>
          <w:sz w:val="24"/>
          <w:szCs w:val="24"/>
        </w:rPr>
        <w:t xml:space="preserve"> kararları, bu kanunun yürürlüğe girmesinin ardından on beş gün içinde Yargıtay’a taşınabilecekti. </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113. 31 Ekim 2019 tarihinde, başvurucunun talebine cevap olarak, İstanbul Ağır Ceza Mahkemesi, başvuranın dört yıl sekiz ay hapis cezasının infazını durdurmuş ve serbest bırakılmasına karar vermiştir. </w:t>
      </w:r>
    </w:p>
    <w:p w:rsidR="00812749" w:rsidRPr="003D5488" w:rsidRDefault="00812749" w:rsidP="00440949">
      <w:pPr>
        <w:pStyle w:val="Balk1"/>
        <w:rPr>
          <w:color w:val="auto"/>
        </w:rPr>
      </w:pPr>
      <w:r w:rsidRPr="003D5488">
        <w:rPr>
          <w:color w:val="auto"/>
        </w:rPr>
        <w:t>BAŞVURUCUNUN YENİDEN TUTUKLANMASI</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114. Ankara Ağır Ceza Mahkemesi’nin 2 Eylül 2019 tarihinde başvurucuyu serbest bırakmasının ardından, başvurucunun avukatları Ankara Ağır Ceza Mahkemesi'ndeki ceza yargılamasında tutuklu kaldığı günlerin İstanbul Ağır Ceza Mahkemesi'ndeki ceza yargılamasında verilen son cezadan mahsup edilmesi için İstanbul Ağır Ceza Mahkemesi'ne başvurmuştur. </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115. 20 Eylül 2019 tarihinde, söz konusu davanın Mahkeme önündeki duruşmasından iki gün sonra, İstanbul 26. Ağır Ceza Mahkemesi talebi kabul etmiştir.</w:t>
      </w:r>
    </w:p>
    <w:p w:rsidR="00812749" w:rsidRPr="003D5488" w:rsidRDefault="00812749" w:rsidP="00812749">
      <w:pPr>
        <w:spacing w:after="0" w:line="276" w:lineRule="auto"/>
        <w:jc w:val="both"/>
        <w:rPr>
          <w:rFonts w:ascii="Times New Roman" w:hAnsi="Times New Roman" w:cs="Times New Roman"/>
          <w:sz w:val="24"/>
          <w:szCs w:val="24"/>
        </w:rPr>
      </w:pPr>
      <w:proofErr w:type="gramStart"/>
      <w:r w:rsidRPr="003D5488">
        <w:rPr>
          <w:rFonts w:ascii="Times New Roman" w:hAnsi="Times New Roman" w:cs="Times New Roman"/>
          <w:sz w:val="24"/>
          <w:szCs w:val="24"/>
        </w:rPr>
        <w:t xml:space="preserve">116. Aynı gün, Ankara Ağır Ceza Mahkemesi'nde devam eden ceza yargılamasına rağmen, Ankara Cumhuriyet Başsavcılığı, başvurucunun ve Figen </w:t>
      </w:r>
      <w:proofErr w:type="spellStart"/>
      <w:r w:rsidRPr="003D5488">
        <w:rPr>
          <w:rFonts w:ascii="Times New Roman" w:hAnsi="Times New Roman" w:cs="Times New Roman"/>
          <w:sz w:val="24"/>
          <w:szCs w:val="24"/>
        </w:rPr>
        <w:t>Yüksekdağ'ın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HDP'nin</w:t>
      </w:r>
      <w:proofErr w:type="spellEnd"/>
      <w:r w:rsidRPr="003D5488">
        <w:rPr>
          <w:rFonts w:ascii="Times New Roman" w:hAnsi="Times New Roman" w:cs="Times New Roman"/>
          <w:sz w:val="24"/>
          <w:szCs w:val="24"/>
        </w:rPr>
        <w:t xml:space="preserve"> eski eş genel başkanı) 6-8 Ekim 2014 tarihli olaylarla ilgili olarak aşağıda belirtilen suçlar kapsamında 2014 yılında başlatılan ayrı bir ceza soruşturmasına </w:t>
      </w:r>
      <w:r w:rsidRPr="003D5488">
        <w:rPr>
          <w:rFonts w:ascii="Times New Roman" w:eastAsia="Times New Roman" w:hAnsi="Times New Roman" w:cs="Times New Roman"/>
          <w:sz w:val="24"/>
          <w:szCs w:val="24"/>
          <w:lang w:eastAsia="tr-TR"/>
        </w:rPr>
        <w:t>(</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2014/146757) dayanarak </w:t>
      </w:r>
      <w:r w:rsidRPr="003D5488">
        <w:rPr>
          <w:rFonts w:ascii="Times New Roman" w:hAnsi="Times New Roman" w:cs="Times New Roman"/>
          <w:sz w:val="24"/>
          <w:szCs w:val="24"/>
        </w:rPr>
        <w:t xml:space="preserve">tutuklanması için Ankara Sulh Ceza </w:t>
      </w:r>
      <w:proofErr w:type="spellStart"/>
      <w:r w:rsidR="00DA1D16">
        <w:rPr>
          <w:rFonts w:ascii="Times New Roman" w:hAnsi="Times New Roman" w:cs="Times New Roman"/>
          <w:sz w:val="24"/>
          <w:szCs w:val="24"/>
        </w:rPr>
        <w:t>Hâkim</w:t>
      </w:r>
      <w:r w:rsidRPr="003D5488">
        <w:rPr>
          <w:rFonts w:ascii="Times New Roman" w:hAnsi="Times New Roman" w:cs="Times New Roman"/>
          <w:sz w:val="24"/>
          <w:szCs w:val="24"/>
        </w:rPr>
        <w:t>liği’ne</w:t>
      </w:r>
      <w:proofErr w:type="spellEnd"/>
      <w:r w:rsidRPr="003D5488">
        <w:rPr>
          <w:rFonts w:ascii="Times New Roman" w:hAnsi="Times New Roman" w:cs="Times New Roman"/>
          <w:sz w:val="24"/>
          <w:szCs w:val="24"/>
        </w:rPr>
        <w:t xml:space="preserve"> başvurmuştur. </w:t>
      </w:r>
      <w:proofErr w:type="gramEnd"/>
    </w:p>
    <w:p w:rsidR="00812749" w:rsidRPr="003D5488" w:rsidRDefault="00812749" w:rsidP="00724F6F">
      <w:pPr>
        <w:numPr>
          <w:ilvl w:val="0"/>
          <w:numId w:val="12"/>
        </w:numPr>
        <w:spacing w:after="0" w:line="276" w:lineRule="auto"/>
        <w:ind w:left="1418" w:hanging="425"/>
        <w:contextualSpacing/>
        <w:jc w:val="both"/>
        <w:rPr>
          <w:rFonts w:ascii="Times New Roman" w:hAnsi="Times New Roman" w:cs="Times New Roman"/>
          <w:sz w:val="24"/>
          <w:szCs w:val="24"/>
        </w:rPr>
      </w:pPr>
      <w:r w:rsidRPr="003D5488">
        <w:rPr>
          <w:rFonts w:ascii="Times New Roman" w:hAnsi="Times New Roman" w:cs="Times New Roman"/>
          <w:sz w:val="24"/>
          <w:szCs w:val="24"/>
        </w:rPr>
        <w:t>Devletin birliğini ve ülke bütünlüğünü bozmak;</w:t>
      </w:r>
    </w:p>
    <w:p w:rsidR="00812749" w:rsidRPr="003D5488" w:rsidRDefault="00812749" w:rsidP="00724F6F">
      <w:pPr>
        <w:numPr>
          <w:ilvl w:val="0"/>
          <w:numId w:val="12"/>
        </w:numPr>
        <w:spacing w:after="0" w:line="276" w:lineRule="auto"/>
        <w:ind w:left="1418" w:hanging="425"/>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Bir </w:t>
      </w:r>
      <w:proofErr w:type="spellStart"/>
      <w:r w:rsidRPr="003D5488">
        <w:rPr>
          <w:rFonts w:ascii="Times New Roman" w:hAnsi="Times New Roman" w:cs="Times New Roman"/>
          <w:sz w:val="24"/>
          <w:szCs w:val="24"/>
        </w:rPr>
        <w:t>suçu</w:t>
      </w:r>
      <w:proofErr w:type="spellEnd"/>
      <w:r w:rsidRPr="003D5488">
        <w:rPr>
          <w:rFonts w:ascii="Times New Roman" w:hAnsi="Times New Roman" w:cs="Times New Roman"/>
          <w:sz w:val="24"/>
          <w:szCs w:val="24"/>
        </w:rPr>
        <w:t xml:space="preserve"> gizlemek, delillerini ortadan kaldırmak ya da yakalanmamak amacıyla öldürme suçuna azmettirme;</w:t>
      </w:r>
    </w:p>
    <w:p w:rsidR="00812749" w:rsidRPr="003D5488" w:rsidRDefault="00812749" w:rsidP="00724F6F">
      <w:pPr>
        <w:numPr>
          <w:ilvl w:val="0"/>
          <w:numId w:val="12"/>
        </w:numPr>
        <w:spacing w:after="0" w:line="276" w:lineRule="auto"/>
        <w:ind w:left="1418" w:hanging="425"/>
        <w:contextualSpacing/>
        <w:jc w:val="both"/>
        <w:rPr>
          <w:rFonts w:ascii="Times New Roman" w:hAnsi="Times New Roman" w:cs="Times New Roman"/>
          <w:sz w:val="24"/>
          <w:szCs w:val="24"/>
        </w:rPr>
      </w:pPr>
      <w:r w:rsidRPr="003D5488">
        <w:rPr>
          <w:rFonts w:ascii="Times New Roman" w:hAnsi="Times New Roman" w:cs="Times New Roman"/>
          <w:sz w:val="24"/>
          <w:szCs w:val="24"/>
        </w:rPr>
        <w:t>Birden fazla kişi ile birlikte suç örgütüne yardım amaçlı gece hırsızlık yapılmasına azmettirme;</w:t>
      </w:r>
    </w:p>
    <w:p w:rsidR="00812749" w:rsidRPr="003D5488" w:rsidRDefault="00812749" w:rsidP="00724F6F">
      <w:pPr>
        <w:numPr>
          <w:ilvl w:val="0"/>
          <w:numId w:val="12"/>
        </w:numPr>
        <w:spacing w:after="0" w:line="276" w:lineRule="auto"/>
        <w:ind w:left="1418" w:hanging="425"/>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Tehdit, şiddet ve hile kullanarak kişiyi hürriyetinden yoksun bırakma suçuna </w:t>
      </w:r>
      <w:proofErr w:type="gramStart"/>
      <w:r w:rsidRPr="003D5488">
        <w:rPr>
          <w:rFonts w:ascii="Times New Roman" w:hAnsi="Times New Roman" w:cs="Times New Roman"/>
          <w:sz w:val="24"/>
          <w:szCs w:val="24"/>
        </w:rPr>
        <w:t>azmettirme;</w:t>
      </w:r>
      <w:proofErr w:type="gramEnd"/>
      <w:r w:rsidRPr="003D5488">
        <w:rPr>
          <w:rFonts w:ascii="Times New Roman" w:hAnsi="Times New Roman" w:cs="Times New Roman"/>
          <w:sz w:val="24"/>
          <w:szCs w:val="24"/>
        </w:rPr>
        <w:t xml:space="preserve"> ve</w:t>
      </w:r>
    </w:p>
    <w:p w:rsidR="00812749" w:rsidRPr="003D5488" w:rsidRDefault="00812749" w:rsidP="00724F6F">
      <w:pPr>
        <w:numPr>
          <w:ilvl w:val="0"/>
          <w:numId w:val="12"/>
        </w:numPr>
        <w:spacing w:after="0" w:line="276" w:lineRule="auto"/>
        <w:ind w:left="1418" w:hanging="425"/>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Bir </w:t>
      </w:r>
      <w:proofErr w:type="spellStart"/>
      <w:r w:rsidRPr="003D5488">
        <w:rPr>
          <w:rFonts w:ascii="Times New Roman" w:hAnsi="Times New Roman" w:cs="Times New Roman"/>
          <w:sz w:val="24"/>
          <w:szCs w:val="24"/>
        </w:rPr>
        <w:t>suçu</w:t>
      </w:r>
      <w:proofErr w:type="spellEnd"/>
      <w:r w:rsidRPr="003D5488">
        <w:rPr>
          <w:rFonts w:ascii="Times New Roman" w:hAnsi="Times New Roman" w:cs="Times New Roman"/>
          <w:sz w:val="24"/>
          <w:szCs w:val="24"/>
        </w:rPr>
        <w:t xml:space="preserve"> gizlemek, delillerini ortadan kaldırmak ya da yakalanmamak amacıyla öldürme suçuna teşebbüse azmettirme.</w:t>
      </w:r>
    </w:p>
    <w:p w:rsidR="00812749" w:rsidRPr="003D5488" w:rsidRDefault="00812749" w:rsidP="00812749">
      <w:pPr>
        <w:spacing w:after="0" w:line="276" w:lineRule="auto"/>
        <w:jc w:val="both"/>
        <w:rPr>
          <w:rFonts w:ascii="Times New Roman" w:hAnsi="Times New Roman" w:cs="Times New Roman"/>
          <w:sz w:val="24"/>
          <w:szCs w:val="24"/>
        </w:rPr>
      </w:pPr>
      <w:r w:rsidRPr="003D5488">
        <w:rPr>
          <w:rFonts w:ascii="Times New Roman" w:hAnsi="Times New Roman" w:cs="Times New Roman"/>
          <w:sz w:val="24"/>
          <w:szCs w:val="24"/>
        </w:rPr>
        <w:lastRenderedPageBreak/>
        <w:t xml:space="preserve">117. 20 Eylül 2019 tarihinde Ankara 1. Sulh Ceza </w:t>
      </w:r>
      <w:r w:rsidR="00DA1D16">
        <w:rPr>
          <w:rFonts w:ascii="Times New Roman" w:hAnsi="Times New Roman" w:cs="Times New Roman"/>
          <w:sz w:val="24"/>
          <w:szCs w:val="24"/>
        </w:rPr>
        <w:t>Hâkim</w:t>
      </w:r>
      <w:r w:rsidRPr="003D5488">
        <w:rPr>
          <w:rFonts w:ascii="Times New Roman" w:hAnsi="Times New Roman" w:cs="Times New Roman"/>
          <w:sz w:val="24"/>
          <w:szCs w:val="24"/>
        </w:rPr>
        <w:t xml:space="preserve">liği, Ceza Muhakemesi Kanunu’nun 100. maddesine dayanarak başvurucunun ve Figen </w:t>
      </w:r>
      <w:proofErr w:type="spellStart"/>
      <w:r w:rsidRPr="003D5488">
        <w:rPr>
          <w:rFonts w:ascii="Times New Roman" w:hAnsi="Times New Roman" w:cs="Times New Roman"/>
          <w:sz w:val="24"/>
          <w:szCs w:val="24"/>
        </w:rPr>
        <w:t>Yüksekdağ'ın</w:t>
      </w:r>
      <w:proofErr w:type="spellEnd"/>
      <w:r w:rsidRPr="003D5488">
        <w:rPr>
          <w:rFonts w:ascii="Times New Roman" w:hAnsi="Times New Roman" w:cs="Times New Roman"/>
          <w:sz w:val="24"/>
          <w:szCs w:val="24"/>
        </w:rPr>
        <w:t xml:space="preserve"> aşağıda belirtilen sebeplerden tutuklanmasına karar vermiştir:</w:t>
      </w:r>
    </w:p>
    <w:p w:rsidR="00812749" w:rsidRPr="003D5488" w:rsidRDefault="00812749" w:rsidP="00724F6F">
      <w:pPr>
        <w:numPr>
          <w:ilvl w:val="0"/>
          <w:numId w:val="13"/>
        </w:numPr>
        <w:spacing w:after="0" w:line="276" w:lineRule="auto"/>
        <w:ind w:left="1418" w:hanging="425"/>
        <w:contextualSpacing/>
        <w:jc w:val="both"/>
        <w:rPr>
          <w:rFonts w:ascii="Times New Roman" w:hAnsi="Times New Roman" w:cs="Times New Roman"/>
          <w:sz w:val="24"/>
          <w:szCs w:val="24"/>
        </w:rPr>
      </w:pPr>
      <w:proofErr w:type="gramStart"/>
      <w:r w:rsidRPr="003D5488">
        <w:rPr>
          <w:rFonts w:ascii="Times New Roman" w:hAnsi="Times New Roman" w:cs="Times New Roman"/>
          <w:sz w:val="24"/>
          <w:szCs w:val="24"/>
        </w:rPr>
        <w:t>işledikleri</w:t>
      </w:r>
      <w:proofErr w:type="gramEnd"/>
      <w:r w:rsidRPr="003D5488">
        <w:rPr>
          <w:rFonts w:ascii="Times New Roman" w:hAnsi="Times New Roman" w:cs="Times New Roman"/>
          <w:sz w:val="24"/>
          <w:szCs w:val="24"/>
        </w:rPr>
        <w:t xml:space="preserve"> iddia edilen suçların doğası;</w:t>
      </w:r>
    </w:p>
    <w:p w:rsidR="00812749" w:rsidRPr="003D5488" w:rsidRDefault="00812749" w:rsidP="00724F6F">
      <w:pPr>
        <w:numPr>
          <w:ilvl w:val="0"/>
          <w:numId w:val="13"/>
        </w:numPr>
        <w:spacing w:after="0" w:line="276" w:lineRule="auto"/>
        <w:ind w:left="1418" w:hanging="425"/>
        <w:contextualSpacing/>
        <w:jc w:val="both"/>
        <w:rPr>
          <w:rFonts w:ascii="Times New Roman" w:hAnsi="Times New Roman" w:cs="Times New Roman"/>
          <w:sz w:val="24"/>
          <w:szCs w:val="24"/>
        </w:rPr>
      </w:pPr>
      <w:proofErr w:type="gramStart"/>
      <w:r w:rsidRPr="003D5488">
        <w:rPr>
          <w:rFonts w:ascii="Times New Roman" w:hAnsi="Times New Roman" w:cs="Times New Roman"/>
          <w:sz w:val="24"/>
          <w:szCs w:val="24"/>
        </w:rPr>
        <w:t>kendilerinin</w:t>
      </w:r>
      <w:proofErr w:type="gramEnd"/>
      <w:r w:rsidRPr="003D5488">
        <w:rPr>
          <w:rFonts w:ascii="Times New Roman" w:hAnsi="Times New Roman" w:cs="Times New Roman"/>
          <w:sz w:val="24"/>
          <w:szCs w:val="24"/>
        </w:rPr>
        <w:t xml:space="preserve"> söz konusu suçları işlediğine dair kuvvetli şüphe uyandıran delillerin varlığı;</w:t>
      </w:r>
    </w:p>
    <w:p w:rsidR="00812749" w:rsidRPr="003D5488" w:rsidRDefault="00812749" w:rsidP="00724F6F">
      <w:pPr>
        <w:numPr>
          <w:ilvl w:val="0"/>
          <w:numId w:val="13"/>
        </w:numPr>
        <w:spacing w:after="0" w:line="276" w:lineRule="auto"/>
        <w:ind w:left="1418" w:hanging="425"/>
        <w:contextualSpacing/>
        <w:jc w:val="both"/>
        <w:rPr>
          <w:rFonts w:ascii="Times New Roman" w:hAnsi="Times New Roman" w:cs="Times New Roman"/>
          <w:sz w:val="24"/>
          <w:szCs w:val="24"/>
        </w:rPr>
      </w:pPr>
      <w:proofErr w:type="gramStart"/>
      <w:r w:rsidRPr="003D5488">
        <w:rPr>
          <w:rFonts w:ascii="Times New Roman" w:hAnsi="Times New Roman" w:cs="Times New Roman"/>
          <w:sz w:val="24"/>
          <w:szCs w:val="24"/>
        </w:rPr>
        <w:t>söz</w:t>
      </w:r>
      <w:proofErr w:type="gramEnd"/>
      <w:r w:rsidRPr="003D5488">
        <w:rPr>
          <w:rFonts w:ascii="Times New Roman" w:hAnsi="Times New Roman" w:cs="Times New Roman"/>
          <w:sz w:val="24"/>
          <w:szCs w:val="24"/>
        </w:rPr>
        <w:t xml:space="preserve"> konusu suçlar için yasada öngörülmüş olan cezalar;</w:t>
      </w:r>
    </w:p>
    <w:p w:rsidR="00812749" w:rsidRPr="003D5488" w:rsidRDefault="00812749" w:rsidP="00724F6F">
      <w:pPr>
        <w:numPr>
          <w:ilvl w:val="0"/>
          <w:numId w:val="13"/>
        </w:numPr>
        <w:spacing w:after="0" w:line="276" w:lineRule="auto"/>
        <w:ind w:left="1418" w:hanging="425"/>
        <w:contextualSpacing/>
        <w:jc w:val="both"/>
        <w:rPr>
          <w:rFonts w:ascii="Times New Roman" w:hAnsi="Times New Roman" w:cs="Times New Roman"/>
          <w:sz w:val="24"/>
          <w:szCs w:val="24"/>
        </w:rPr>
      </w:pPr>
      <w:r w:rsidRPr="003D5488">
        <w:rPr>
          <w:rFonts w:ascii="Times New Roman" w:hAnsi="Times New Roman" w:cs="Times New Roman"/>
          <w:sz w:val="24"/>
          <w:szCs w:val="24"/>
        </w:rPr>
        <w:t xml:space="preserve">Anayasanın 19. maddesi, Sözleşme’nin ise 5. maddesi uyarınca şüphelilerin tutukluğuna karar verilebilecek koşulların </w:t>
      </w:r>
      <w:proofErr w:type="gramStart"/>
      <w:r w:rsidRPr="003D5488">
        <w:rPr>
          <w:rFonts w:ascii="Times New Roman" w:hAnsi="Times New Roman" w:cs="Times New Roman"/>
          <w:sz w:val="24"/>
          <w:szCs w:val="24"/>
        </w:rPr>
        <w:t>oluşması;</w:t>
      </w:r>
      <w:proofErr w:type="gramEnd"/>
      <w:r w:rsidRPr="003D5488">
        <w:rPr>
          <w:rFonts w:ascii="Times New Roman" w:hAnsi="Times New Roman" w:cs="Times New Roman"/>
          <w:sz w:val="24"/>
          <w:szCs w:val="24"/>
        </w:rPr>
        <w:t xml:space="preserve"> ve</w:t>
      </w:r>
    </w:p>
    <w:p w:rsidR="00812749" w:rsidRPr="003D5488" w:rsidRDefault="00812749" w:rsidP="00724F6F">
      <w:pPr>
        <w:numPr>
          <w:ilvl w:val="0"/>
          <w:numId w:val="13"/>
        </w:numPr>
        <w:spacing w:after="0" w:line="276" w:lineRule="auto"/>
        <w:ind w:left="1418" w:hanging="425"/>
        <w:contextualSpacing/>
        <w:jc w:val="both"/>
        <w:rPr>
          <w:rFonts w:ascii="Times New Roman" w:hAnsi="Times New Roman" w:cs="Times New Roman"/>
          <w:sz w:val="24"/>
          <w:szCs w:val="24"/>
        </w:rPr>
      </w:pPr>
      <w:proofErr w:type="gramStart"/>
      <w:r w:rsidRPr="003D5488">
        <w:rPr>
          <w:rFonts w:ascii="Times New Roman" w:hAnsi="Times New Roman" w:cs="Times New Roman"/>
          <w:sz w:val="24"/>
          <w:szCs w:val="24"/>
        </w:rPr>
        <w:t>tutuklamaya</w:t>
      </w:r>
      <w:proofErr w:type="gramEnd"/>
      <w:r w:rsidRPr="003D5488">
        <w:rPr>
          <w:rFonts w:ascii="Times New Roman" w:hAnsi="Times New Roman" w:cs="Times New Roman"/>
          <w:sz w:val="24"/>
          <w:szCs w:val="24"/>
        </w:rPr>
        <w:t xml:space="preserve"> nazaran diğer alternatif önlemlerin yetersiz gözükmesi.</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118. Başvurucunun tekrar tutuklanmasının ardından, Cumhurbaşkanı 21 Eylül 2019'da basına şu açıklamayı yapmıştır:</w:t>
      </w:r>
    </w:p>
    <w:p w:rsidR="00812749" w:rsidRPr="003D5488" w:rsidRDefault="00812749" w:rsidP="00812749">
      <w:pPr>
        <w:spacing w:line="276" w:lineRule="auto"/>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 xml:space="preserve"> “</w:t>
      </w:r>
      <w:r w:rsidRPr="003D5488">
        <w:rPr>
          <w:rFonts w:ascii="Times New Roman" w:eastAsia="Times New Roman" w:hAnsi="Times New Roman" w:cs="Times New Roman"/>
          <w:i/>
          <w:iCs/>
          <w:szCs w:val="24"/>
          <w:lang w:eastAsia="tr-TR"/>
        </w:rPr>
        <w:t xml:space="preserve">Bu ülkede katil aranıyorsa bunların adresini aramaya gerek yok. Bunlar, parlamentoya kadar sızmışlar. Sokağa insanları çağırıp ondan sonra Diyarbakır’da 53 evladımızı öldürenleri bu millet unutmuyor ve unutmayacaktır da. Sonuna kadar bu işin takipçisiyiz, takipçisi olacağız. Bunları bırakamayız. Eğer biz bırakırsak ebedi </w:t>
      </w:r>
      <w:proofErr w:type="gramStart"/>
      <w:r w:rsidRPr="003D5488">
        <w:rPr>
          <w:rFonts w:ascii="Times New Roman" w:eastAsia="Times New Roman" w:hAnsi="Times New Roman" w:cs="Times New Roman"/>
          <w:i/>
          <w:iCs/>
          <w:szCs w:val="24"/>
          <w:lang w:eastAsia="tr-TR"/>
        </w:rPr>
        <w:t>alemde</w:t>
      </w:r>
      <w:proofErr w:type="gramEnd"/>
      <w:r w:rsidRPr="003D5488">
        <w:rPr>
          <w:rFonts w:ascii="Times New Roman" w:eastAsia="Times New Roman" w:hAnsi="Times New Roman" w:cs="Times New Roman"/>
          <w:i/>
          <w:iCs/>
          <w:szCs w:val="24"/>
          <w:lang w:eastAsia="tr-TR"/>
        </w:rPr>
        <w:t xml:space="preserve"> şehitlerimiz bize bunun hesabını sorar. Bu topraklar rastgele topraklar değil</w:t>
      </w:r>
      <w:r w:rsidRPr="003D5488">
        <w:rPr>
          <w:rFonts w:ascii="Times New Roman" w:eastAsia="Times New Roman" w:hAnsi="Times New Roman" w:cs="Times New Roman"/>
          <w:szCs w:val="24"/>
          <w:lang w:eastAsia="tr-TR"/>
        </w:rPr>
        <w:t>.”</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119. Ardından 23 Eylül 2019 tarihinde ana muhalefet partisi CHP’nin lideri Kemal </w:t>
      </w:r>
      <w:proofErr w:type="spellStart"/>
      <w:r w:rsidRPr="003D5488">
        <w:rPr>
          <w:rFonts w:ascii="Times New Roman" w:hAnsi="Times New Roman" w:cs="Times New Roman"/>
          <w:sz w:val="24"/>
          <w:szCs w:val="24"/>
        </w:rPr>
        <w:t>Kılıçdaroğlu</w:t>
      </w:r>
      <w:proofErr w:type="spellEnd"/>
      <w:r w:rsidRPr="003D5488">
        <w:rPr>
          <w:rFonts w:ascii="Times New Roman" w:hAnsi="Times New Roman" w:cs="Times New Roman"/>
          <w:sz w:val="24"/>
          <w:szCs w:val="24"/>
        </w:rPr>
        <w:t xml:space="preserve"> basına şu açıklamayı yapmıştır: </w:t>
      </w:r>
    </w:p>
    <w:p w:rsidR="00440949" w:rsidRPr="003D5488" w:rsidRDefault="00812749" w:rsidP="00DA1D16">
      <w:pPr>
        <w:shd w:val="clear" w:color="auto" w:fill="FFFFFF"/>
        <w:spacing w:before="120" w:after="120" w:line="276" w:lineRule="auto"/>
        <w:ind w:left="425" w:firstLine="142"/>
        <w:jc w:val="both"/>
        <w:rPr>
          <w:rFonts w:ascii="Times New Roman" w:eastAsia="Times New Roman" w:hAnsi="Times New Roman" w:cs="Times New Roman"/>
          <w:szCs w:val="24"/>
          <w:lang w:eastAsia="tr-TR"/>
        </w:rPr>
      </w:pPr>
      <w:bookmarkStart w:id="26" w:name="decisionof20septemberreturntopretrialdet"/>
      <w:bookmarkStart w:id="27" w:name="remiseenlibertefin"/>
      <w:bookmarkEnd w:id="26"/>
      <w:bookmarkEnd w:id="27"/>
      <w:r w:rsidRPr="003D5488">
        <w:rPr>
          <w:rFonts w:ascii="Times New Roman" w:eastAsia="Times New Roman" w:hAnsi="Times New Roman" w:cs="Times New Roman"/>
          <w:szCs w:val="24"/>
          <w:lang w:eastAsia="tr-TR"/>
        </w:rPr>
        <w:t xml:space="preserve"> “</w:t>
      </w:r>
      <w:r w:rsidRPr="003D5488">
        <w:rPr>
          <w:rFonts w:ascii="Times New Roman" w:eastAsia="Times New Roman" w:hAnsi="Times New Roman" w:cs="Times New Roman"/>
          <w:i/>
          <w:iCs/>
          <w:szCs w:val="24"/>
          <w:lang w:eastAsia="tr-TR"/>
        </w:rPr>
        <w:t>Türkiye’de adaletin olmadığını, siyasal baskıların yargıçlar üzerinde de sürdürüldüğünü herkes biliyor. Selahattin Demirtaş’ın tahliye edilmesi gerekirken siyasal iktidarın talebi üzerine tekrar tutuklanması aslında bir hukuk faciasıdır</w:t>
      </w:r>
      <w:r w:rsidR="00440949" w:rsidRPr="003D5488">
        <w:rPr>
          <w:rFonts w:ascii="Times New Roman" w:eastAsia="Times New Roman" w:hAnsi="Times New Roman" w:cs="Times New Roman"/>
          <w:szCs w:val="24"/>
          <w:lang w:eastAsia="tr-TR"/>
        </w:rPr>
        <w:t>.”</w:t>
      </w:r>
    </w:p>
    <w:p w:rsidR="00812749" w:rsidRPr="003D5488" w:rsidRDefault="00812749" w:rsidP="00440949">
      <w:pPr>
        <w:pStyle w:val="Balk1"/>
        <w:rPr>
          <w:color w:val="auto"/>
        </w:rPr>
      </w:pPr>
      <w:r w:rsidRPr="003D5488">
        <w:rPr>
          <w:color w:val="auto"/>
        </w:rPr>
        <w:t xml:space="preserve">ANAYASA MAHKEMESİ’NE YAPILAN İKİNCİ BİREYSEL </w:t>
      </w:r>
      <w:r w:rsidR="00440949" w:rsidRPr="003D5488">
        <w:rPr>
          <w:color w:val="auto"/>
        </w:rPr>
        <w:t xml:space="preserve">BAŞVURU </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120. 26 Kasım 2017, 29 Mart, 18 Haziran, 27 Kasım ve 11 Aralık 2018 tarihlerinde, başvurucu benzer konulara ilişkin beş ayrı bireysel başvuruda bulunmuş, Anayasa Mahkemesi bu başvuruları </w:t>
      </w:r>
      <w:r w:rsidRPr="003D5488">
        <w:rPr>
          <w:rFonts w:ascii="Times New Roman" w:eastAsia="Times New Roman" w:hAnsi="Times New Roman" w:cs="Times New Roman"/>
          <w:sz w:val="24"/>
          <w:szCs w:val="24"/>
          <w:lang w:eastAsia="tr-TR"/>
        </w:rPr>
        <w:t xml:space="preserve">2017/38610 başvuru numarası altında birleştirmiş ve 9 Haziran 2020 tarihinde karara bağlamıştır. Pratik olması için, Mahkeme bu beş bireysel başvurudan “ikinci bireysel başvuru” olarak bahsedecektir. </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lastRenderedPageBreak/>
        <w:t xml:space="preserve">121. Anayasa Mahkemesi kararında, oybirliğiyle, başvurucunun cezaevinde geçirdiği sürenin uzunluğunu dikkate alarak Sözleşme’nin 5 </w:t>
      </w:r>
      <w:r w:rsidRPr="003D5488">
        <w:rPr>
          <w:rFonts w:ascii="Times New Roman" w:eastAsia="Times New Roman" w:hAnsi="Times New Roman" w:cs="Times New Roman"/>
          <w:sz w:val="24"/>
          <w:szCs w:val="24"/>
          <w:lang w:eastAsia="tr-TR"/>
        </w:rPr>
        <w:t xml:space="preserve">§ 3 maddesine karşılık gelen </w:t>
      </w:r>
      <w:r w:rsidRPr="003D5488">
        <w:rPr>
          <w:rFonts w:ascii="Times New Roman" w:hAnsi="Times New Roman" w:cs="Times New Roman"/>
          <w:sz w:val="24"/>
          <w:szCs w:val="24"/>
        </w:rPr>
        <w:t xml:space="preserve">Anayasa’nın 19 § 7 maddesinin ihlal edildiğine karar vermiştir. Bu bağlamda Anayasa Mahkemesi, öncelikle, başvurucunun terörle bağlantılı suçlarla iki yıl, bir ay ve üç gün tutuklu kaldığını belirtmiştir. Tutukluluğun makul süreyi aşıp aşmadığı sorusuna karar verirken ilk olarak tutuklama kararında gösterilen gerekçelere bakacağını söylemiştir. </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122. Anayasa Mahkemesi, 21 Aralık 2017 tarihli kararında, başvurucunun bir suç işlediğine dair "kuvvetli bir şüphe" bulunduğunu tespit ettiğine işaret etmiştir. Sonuç olarak, başvurucunun ilk tutukluluğu Anayasa'ya uygun bulunmuştur. Daha sonra, tutukluluğun gerekçeleri ve orantılılığı açısından başvurucunun tutukluluğunun devamına hükmeden kararları incelemeye devam etmiştir.</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123. Anayasa Mahkemesi, milletvekili olan başvurucuların uzun tutukluluk meselesini </w:t>
      </w:r>
      <w:proofErr w:type="gramStart"/>
      <w:r w:rsidRPr="003D5488">
        <w:rPr>
          <w:rFonts w:ascii="Times New Roman" w:hAnsi="Times New Roman" w:cs="Times New Roman"/>
          <w:sz w:val="24"/>
          <w:szCs w:val="24"/>
        </w:rPr>
        <w:t>halihazırda</w:t>
      </w:r>
      <w:proofErr w:type="gramEnd"/>
      <w:r w:rsidRPr="003D5488">
        <w:rPr>
          <w:rFonts w:ascii="Times New Roman" w:hAnsi="Times New Roman" w:cs="Times New Roman"/>
          <w:sz w:val="24"/>
          <w:szCs w:val="24"/>
        </w:rPr>
        <w:t xml:space="preserve"> değerlendirdiğini kaydetmiştir. </w:t>
      </w:r>
      <w:proofErr w:type="gramStart"/>
      <w:r w:rsidRPr="003D5488">
        <w:rPr>
          <w:rFonts w:ascii="Times New Roman" w:hAnsi="Times New Roman" w:cs="Times New Roman"/>
          <w:sz w:val="24"/>
          <w:szCs w:val="24"/>
        </w:rPr>
        <w:t xml:space="preserve">Anayasa Mahkemesi, sadece Anayasa’nın 19. maddesinde güvence altına alınan kişi özgürlüğü ve güvenliği hakkına yönelik tutuklama tedbiriyle sonuçlanan sınırlandırmayı değil, aynı zamanda tutukluluğunun etkisini ve Anayasa’nın 67. maddesinde güvence altına alınan siyasi faaliyetlere katılma ve seçme ve seçilme hakkını kullanma hakkına uzanan etkisini de dikkate alarak inceleme yapmayı uygun bulmuştur. </w:t>
      </w:r>
      <w:proofErr w:type="gramEnd"/>
      <w:r w:rsidRPr="003D5488">
        <w:rPr>
          <w:rFonts w:ascii="Times New Roman" w:hAnsi="Times New Roman" w:cs="Times New Roman"/>
          <w:sz w:val="24"/>
          <w:szCs w:val="24"/>
        </w:rPr>
        <w:t>Anayasa Mahkemesi’nin görüşüne göre, bir milletvekilinin tutukluluğunun devamına karar verirken, mahkemeler, somut gerçeklere dayanarak, menfaatin kişi hürriyeti ve güvenliği hakkının ve seçme, seçilme ve siyasi faaliyetlerde bulunma hakkından üstün olduğunu göstermek zorundadır.</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124. Anayasa Mahkemesi, tutuklanmasına karar verilen kişinin milletvekili olmasının otomatik olarak tutukluluğun orantısız bir tedbir olduğu anlamına gelmediğini gözlemlemiştir. Bu bağlamda, bir soruşturma veya ceza davası sırasında, tutukluluğun devam etmesini gerektiren gerekçeler olduğu gösterilebildiği sürece, bir milletvekilinin tutukluluğunun uzatılmasına karar verilebilir. Tutuklamaya ilişkin kararlar verirken mahkemeler, hangi kamu yararının tutukluluğun uzatılmasını haklı gösterdiğini ve tutukluluk süresinin uzatılmasının söz konusu haklara nasıl üstün geldiğini göstermelidir. Başka bir deyişle, tutukluluğun devamına ilişkin kararlarda belirtilen gerekçeler, yalnızca davanın nesnel yönlerini değil, aynı zamanda </w:t>
      </w:r>
      <w:r w:rsidRPr="003D5488">
        <w:rPr>
          <w:rFonts w:ascii="Times New Roman" w:hAnsi="Times New Roman" w:cs="Times New Roman"/>
          <w:sz w:val="24"/>
          <w:szCs w:val="24"/>
        </w:rPr>
        <w:lastRenderedPageBreak/>
        <w:t>tutuklanan milletvekilinin konumuna ilişkin özel hususları da kapsamalıdır - yani gerekçeler kişiselleştirilmelidir.</w:t>
      </w:r>
    </w:p>
    <w:p w:rsidR="00812749" w:rsidRPr="003D5488" w:rsidRDefault="00812749" w:rsidP="00812749">
      <w:pPr>
        <w:spacing w:line="276" w:lineRule="auto"/>
        <w:jc w:val="both"/>
        <w:rPr>
          <w:rFonts w:ascii="Times New Roman" w:hAnsi="Times New Roman" w:cs="Times New Roman"/>
          <w:sz w:val="24"/>
          <w:szCs w:val="24"/>
        </w:rPr>
      </w:pPr>
      <w:proofErr w:type="gramStart"/>
      <w:r w:rsidRPr="003D5488">
        <w:rPr>
          <w:rFonts w:ascii="Times New Roman" w:hAnsi="Times New Roman" w:cs="Times New Roman"/>
          <w:sz w:val="24"/>
          <w:szCs w:val="24"/>
        </w:rPr>
        <w:t xml:space="preserve">125. Söz konusu davaya dönerek Anayasa Mahkemesi, yetkili sulh ceza </w:t>
      </w:r>
      <w:r w:rsidR="00DA1D16">
        <w:rPr>
          <w:rFonts w:ascii="Times New Roman" w:hAnsi="Times New Roman" w:cs="Times New Roman"/>
          <w:sz w:val="24"/>
          <w:szCs w:val="24"/>
        </w:rPr>
        <w:t>hâkim</w:t>
      </w:r>
      <w:r w:rsidRPr="003D5488">
        <w:rPr>
          <w:rFonts w:ascii="Times New Roman" w:hAnsi="Times New Roman" w:cs="Times New Roman"/>
          <w:sz w:val="24"/>
          <w:szCs w:val="24"/>
        </w:rPr>
        <w:t xml:space="preserve">lerinin ve ağır ceza mahkemelerinin, başvurucunun bir milletvekili, bir siyasi partinin eş genel başkanı ve cumhurbaşkanlığı seçiminde aday olması nedeniyle tutukluluğunun sürdürülmesinin makul olmadığı yönündeki iddialarını değerlendirmediğine karar vermiş ve söz konusu tedbirin, başvurucunun seçimlerde aday olma ve siyasi faaliyetlerde bulunma hakkına da aşırı bir kısıtlama getirdiğini belirtmiştir. </w:t>
      </w:r>
      <w:proofErr w:type="gramEnd"/>
      <w:r w:rsidRPr="003D5488">
        <w:rPr>
          <w:rFonts w:ascii="Times New Roman" w:hAnsi="Times New Roman" w:cs="Times New Roman"/>
          <w:sz w:val="24"/>
          <w:szCs w:val="24"/>
        </w:rPr>
        <w:t>Başvurucunun yaptığı tahliye başvurularının basmakalıp gerekçelerle reddedildiğini tespit etmiştir. Bu nedenle, tutukluluğunun devamına ilişkin kararların ilgili ve yeterli gerekçeler içermediği sonucuna varmıştır. Bu nedenle Anayasa Mahkemesi, Anayasa’nın 19 § 7 maddesi uyarınca başvurucunun kişi özgürlüğü ve güvenlik hakkının ihlal edildiğine karar vermiştir.</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126. Başvurucunun diğer </w:t>
      </w:r>
      <w:r w:rsidR="007E3DD1" w:rsidRPr="003D5488">
        <w:rPr>
          <w:rFonts w:ascii="Times New Roman" w:hAnsi="Times New Roman" w:cs="Times New Roman"/>
          <w:sz w:val="24"/>
          <w:szCs w:val="24"/>
        </w:rPr>
        <w:t>şikâyet</w:t>
      </w:r>
      <w:r w:rsidRPr="003D5488">
        <w:rPr>
          <w:rFonts w:ascii="Times New Roman" w:hAnsi="Times New Roman" w:cs="Times New Roman"/>
          <w:sz w:val="24"/>
          <w:szCs w:val="24"/>
        </w:rPr>
        <w:t xml:space="preserve">leri (özellikle Sözleşme'nin 5 §§ 1 ve 4 maddelerine ilişkin olanlar) ya kabul edilmemiş ya da Anayasa Mahkemesi bu </w:t>
      </w:r>
      <w:r w:rsidR="007E3DD1" w:rsidRPr="003D5488">
        <w:rPr>
          <w:rFonts w:ascii="Times New Roman" w:hAnsi="Times New Roman" w:cs="Times New Roman"/>
          <w:sz w:val="24"/>
          <w:szCs w:val="24"/>
        </w:rPr>
        <w:t>şikâyet</w:t>
      </w:r>
      <w:r w:rsidRPr="003D5488">
        <w:rPr>
          <w:rFonts w:ascii="Times New Roman" w:hAnsi="Times New Roman" w:cs="Times New Roman"/>
          <w:sz w:val="24"/>
          <w:szCs w:val="24"/>
        </w:rPr>
        <w:t xml:space="preserve">leri (Sözleşme'nin 18. ve 1 </w:t>
      </w:r>
      <w:proofErr w:type="spellStart"/>
      <w:r w:rsidRPr="003D5488">
        <w:rPr>
          <w:rFonts w:ascii="Times New Roman" w:hAnsi="Times New Roman" w:cs="Times New Roman"/>
          <w:sz w:val="24"/>
          <w:szCs w:val="24"/>
        </w:rPr>
        <w:t>No'lu</w:t>
      </w:r>
      <w:proofErr w:type="spellEnd"/>
      <w:r w:rsidRPr="003D5488">
        <w:rPr>
          <w:rFonts w:ascii="Times New Roman" w:hAnsi="Times New Roman" w:cs="Times New Roman"/>
          <w:sz w:val="24"/>
          <w:szCs w:val="24"/>
        </w:rPr>
        <w:t xml:space="preserve"> Protokol'ün 3. maddesi) ayrı ayrı incelemeye gerek görmemiştir.</w:t>
      </w:r>
    </w:p>
    <w:p w:rsidR="00812749"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127. Verilen ihlal kararı doğrultusunda Anayasa Mahkemesi, başvurucuya 50.000 TL (yaklaşık 6,500 Euro) manevi tazminat ve 4,436.50 TL (yaklaşık 575 Euro) masraf ve gider ödenmesine karar vermiştir.</w:t>
      </w:r>
    </w:p>
    <w:p w:rsidR="00DA1D16" w:rsidRPr="003D5488" w:rsidRDefault="00812749" w:rsidP="00812749">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128. Başvurucunun 20 Eylül 2019'da başlayan mevcut tutukluluğuna ilişkin olarak Anayasa Mahkemesi, başvurucunun 7 Kasım 2019 tarihinde başka bir bireysel başvuruda bulunduğunu ve bu başvurunun halen Anayasa Mahkemesi önünde derdest olduğunu belirtmiştir. Anayasa Mahkemesi bu başvuru ile ilgili karar vermemiştir. Buna göre, 9 Haziran 2020 tarihli kararın hala cezaevinde olan başvurucunun kişisel durumu üzerinde hiçbir etkisi olmamıştır.</w:t>
      </w:r>
    </w:p>
    <w:p w:rsidR="00683825" w:rsidRPr="003D5488" w:rsidRDefault="00AE04B9" w:rsidP="0060280C">
      <w:pPr>
        <w:shd w:val="clear" w:color="auto" w:fill="FFFFFF"/>
        <w:spacing w:before="100" w:after="24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caps/>
          <w:sz w:val="24"/>
          <w:szCs w:val="24"/>
          <w:lang w:eastAsia="tr-TR"/>
        </w:rPr>
        <w:t>hukuk</w:t>
      </w:r>
    </w:p>
    <w:p w:rsidR="00683825" w:rsidRPr="003D5488" w:rsidRDefault="00AE04B9" w:rsidP="00724F6F">
      <w:pPr>
        <w:pStyle w:val="Balk1"/>
        <w:numPr>
          <w:ilvl w:val="0"/>
          <w:numId w:val="18"/>
        </w:numPr>
        <w:rPr>
          <w:color w:val="auto"/>
        </w:rPr>
      </w:pPr>
      <w:r w:rsidRPr="003D5488">
        <w:rPr>
          <w:color w:val="auto"/>
        </w:rPr>
        <w:t xml:space="preserve">BÜYÜK DAİRE ÖNÜNDEKİ DAVANIN KAPSAMI </w:t>
      </w:r>
    </w:p>
    <w:p w:rsidR="00D00DC6" w:rsidRPr="003D5488" w:rsidRDefault="00683825" w:rsidP="0060280C">
      <w:pPr>
        <w:shd w:val="clear" w:color="auto" w:fill="FFFFFF"/>
        <w:spacing w:after="0" w:line="276" w:lineRule="auto"/>
        <w:ind w:firstLine="23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167.  </w:t>
      </w:r>
      <w:r w:rsidR="00AE04B9" w:rsidRPr="003D5488">
        <w:rPr>
          <w:rFonts w:ascii="Times New Roman" w:eastAsia="Times New Roman" w:hAnsi="Times New Roman" w:cs="Times New Roman"/>
          <w:sz w:val="24"/>
          <w:szCs w:val="24"/>
          <w:lang w:eastAsia="tr-TR"/>
        </w:rPr>
        <w:t xml:space="preserve">Mahkeme, Büyük Daire’nin önüne taşınan davanın içeriğinin ve kapsamının Daire’nin kabul edilebilirlik kararı ile sınırlı olduğunu hatırlatmıştır. (bakınız </w:t>
      </w:r>
      <w:proofErr w:type="spellStart"/>
      <w:r w:rsidR="00AE04B9" w:rsidRPr="003D5488">
        <w:rPr>
          <w:rFonts w:ascii="Times New Roman" w:eastAsia="Times New Roman" w:hAnsi="Times New Roman" w:cs="Times New Roman"/>
          <w:i/>
          <w:iCs/>
          <w:sz w:val="24"/>
          <w:szCs w:val="24"/>
          <w:lang w:eastAsia="tr-TR"/>
        </w:rPr>
        <w:t>Murtazaliyeva</w:t>
      </w:r>
      <w:proofErr w:type="spellEnd"/>
      <w:r w:rsidR="00AE04B9" w:rsidRPr="003D5488">
        <w:rPr>
          <w:rFonts w:ascii="Times New Roman" w:eastAsia="Times New Roman" w:hAnsi="Times New Roman" w:cs="Times New Roman"/>
          <w:i/>
          <w:iCs/>
          <w:sz w:val="24"/>
          <w:szCs w:val="24"/>
          <w:lang w:eastAsia="tr-TR"/>
        </w:rPr>
        <w:t xml:space="preserve"> v. Rusya</w:t>
      </w:r>
      <w:r w:rsidRPr="003D5488">
        <w:rPr>
          <w:rFonts w:ascii="Times New Roman" w:eastAsia="Times New Roman" w:hAnsi="Times New Roman" w:cs="Times New Roman"/>
          <w:i/>
          <w:iCs/>
          <w:sz w:val="24"/>
          <w:szCs w:val="24"/>
          <w:lang w:eastAsia="tr-TR"/>
        </w:rPr>
        <w:t> </w:t>
      </w:r>
      <w:r w:rsidR="00AE04B9" w:rsidRPr="003D5488">
        <w:rPr>
          <w:rFonts w:ascii="Times New Roman" w:eastAsia="Times New Roman" w:hAnsi="Times New Roman" w:cs="Times New Roman"/>
          <w:sz w:val="24"/>
          <w:szCs w:val="24"/>
          <w:lang w:eastAsia="tr-TR"/>
        </w:rPr>
        <w:t>[BD</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36658/05, § 88, </w:t>
      </w:r>
      <w:r w:rsidRPr="003D5488">
        <w:rPr>
          <w:rFonts w:ascii="Times New Roman" w:eastAsia="Times New Roman" w:hAnsi="Times New Roman" w:cs="Times New Roman"/>
          <w:sz w:val="24"/>
          <w:szCs w:val="24"/>
          <w:lang w:eastAsia="tr-TR"/>
        </w:rPr>
        <w:lastRenderedPageBreak/>
        <w:t>18 </w:t>
      </w:r>
      <w:r w:rsidR="00AE04B9" w:rsidRPr="003D5488">
        <w:rPr>
          <w:rFonts w:ascii="Times New Roman" w:eastAsia="Times New Roman" w:hAnsi="Times New Roman" w:cs="Times New Roman"/>
          <w:sz w:val="24"/>
          <w:szCs w:val="24"/>
          <w:lang w:eastAsia="tr-TR"/>
        </w:rPr>
        <w:t xml:space="preserve">Aralık 2018) Bu sebeple Büyük Daire, </w:t>
      </w:r>
      <w:r w:rsidR="00D00DC6" w:rsidRPr="003D5488">
        <w:rPr>
          <w:rFonts w:ascii="Times New Roman" w:eastAsia="Times New Roman" w:hAnsi="Times New Roman" w:cs="Times New Roman"/>
          <w:sz w:val="24"/>
          <w:szCs w:val="24"/>
          <w:lang w:eastAsia="tr-TR"/>
        </w:rPr>
        <w:t xml:space="preserve">daha önce kabul edilemez bulunan </w:t>
      </w:r>
      <w:r w:rsidR="009A3C60" w:rsidRPr="003D5488">
        <w:rPr>
          <w:rFonts w:ascii="Times New Roman" w:eastAsia="Times New Roman" w:hAnsi="Times New Roman" w:cs="Times New Roman"/>
          <w:sz w:val="24"/>
          <w:szCs w:val="24"/>
          <w:lang w:eastAsia="tr-TR"/>
        </w:rPr>
        <w:t>şikâyetleri</w:t>
      </w:r>
      <w:r w:rsidR="00D00DC6" w:rsidRPr="003D5488">
        <w:rPr>
          <w:rFonts w:ascii="Times New Roman" w:eastAsia="Times New Roman" w:hAnsi="Times New Roman" w:cs="Times New Roman"/>
          <w:sz w:val="24"/>
          <w:szCs w:val="24"/>
          <w:lang w:eastAsia="tr-TR"/>
        </w:rPr>
        <w:t xml:space="preserve"> inceleyemeyecektir. Buna bağlı olarak, başvurucunun hukuka aykırı bir şekilde yakalanıp gözaltına alındığı ve </w:t>
      </w:r>
      <w:proofErr w:type="spellStart"/>
      <w:r w:rsidR="00D00DC6" w:rsidRPr="003D5488">
        <w:rPr>
          <w:rFonts w:ascii="Times New Roman" w:eastAsia="Times New Roman" w:hAnsi="Times New Roman" w:cs="Times New Roman"/>
          <w:sz w:val="24"/>
          <w:szCs w:val="24"/>
          <w:lang w:eastAsia="tr-TR"/>
        </w:rPr>
        <w:t>tutuklululuğunun</w:t>
      </w:r>
      <w:proofErr w:type="spellEnd"/>
      <w:r w:rsidR="00D00DC6" w:rsidRPr="003D5488">
        <w:rPr>
          <w:rFonts w:ascii="Times New Roman" w:eastAsia="Times New Roman" w:hAnsi="Times New Roman" w:cs="Times New Roman"/>
          <w:sz w:val="24"/>
          <w:szCs w:val="24"/>
          <w:lang w:eastAsia="tr-TR"/>
        </w:rPr>
        <w:t xml:space="preserve"> ve tutukluluk halinin devam ettirilmesinin iç hukukla bağdaşmadığı yönündeki </w:t>
      </w:r>
      <w:r w:rsidR="009A3C60" w:rsidRPr="003D5488">
        <w:rPr>
          <w:rFonts w:ascii="Times New Roman" w:eastAsia="Times New Roman" w:hAnsi="Times New Roman" w:cs="Times New Roman"/>
          <w:sz w:val="24"/>
          <w:szCs w:val="24"/>
          <w:lang w:eastAsia="tr-TR"/>
        </w:rPr>
        <w:t>şikâyetleri</w:t>
      </w:r>
      <w:r w:rsidR="00D00DC6" w:rsidRPr="003D5488">
        <w:rPr>
          <w:rFonts w:ascii="Times New Roman" w:eastAsia="Times New Roman" w:hAnsi="Times New Roman" w:cs="Times New Roman"/>
          <w:sz w:val="24"/>
          <w:szCs w:val="24"/>
          <w:lang w:eastAsia="tr-TR"/>
        </w:rPr>
        <w:t xml:space="preserve">, Daire tarafından kabul edilemez bulunduğu için bu davanın kapsamından çıkartılmıştır. (bakınız sırasıyla, Daire kararının 127-130 ve 142-150 paragrafları) </w:t>
      </w:r>
    </w:p>
    <w:p w:rsidR="00683825" w:rsidRPr="003D5488" w:rsidRDefault="00683825" w:rsidP="0060280C">
      <w:pPr>
        <w:shd w:val="clear" w:color="auto" w:fill="FFFFFF"/>
        <w:spacing w:after="0" w:line="276" w:lineRule="auto"/>
        <w:ind w:firstLine="232"/>
        <w:jc w:val="both"/>
        <w:rPr>
          <w:rFonts w:ascii="Times New Roman" w:eastAsia="Times New Roman" w:hAnsi="Times New Roman" w:cs="Times New Roman"/>
          <w:sz w:val="24"/>
          <w:szCs w:val="24"/>
          <w:lang w:eastAsia="tr-TR"/>
        </w:rPr>
      </w:pPr>
      <w:proofErr w:type="gramStart"/>
      <w:r w:rsidRPr="003D5488">
        <w:rPr>
          <w:rFonts w:ascii="Times New Roman" w:eastAsia="Times New Roman" w:hAnsi="Times New Roman" w:cs="Times New Roman"/>
          <w:sz w:val="24"/>
          <w:szCs w:val="24"/>
          <w:lang w:eastAsia="tr-TR"/>
        </w:rPr>
        <w:t>168.  </w:t>
      </w:r>
      <w:r w:rsidR="00D00DC6" w:rsidRPr="003D5488">
        <w:rPr>
          <w:rFonts w:ascii="Times New Roman" w:eastAsia="Times New Roman" w:hAnsi="Times New Roman" w:cs="Times New Roman"/>
          <w:sz w:val="24"/>
          <w:szCs w:val="24"/>
          <w:lang w:eastAsia="tr-TR"/>
        </w:rPr>
        <w:t xml:space="preserve">Başvurucunun </w:t>
      </w:r>
      <w:proofErr w:type="spellStart"/>
      <w:r w:rsidR="00D00DC6" w:rsidRPr="003D5488">
        <w:rPr>
          <w:rFonts w:ascii="Times New Roman" w:eastAsia="Times New Roman" w:hAnsi="Times New Roman" w:cs="Times New Roman"/>
          <w:sz w:val="24"/>
          <w:szCs w:val="24"/>
          <w:lang w:eastAsia="tr-TR"/>
        </w:rPr>
        <w:t>başvurucunun</w:t>
      </w:r>
      <w:proofErr w:type="spellEnd"/>
      <w:r w:rsidR="00D00DC6" w:rsidRPr="003D5488">
        <w:rPr>
          <w:rFonts w:ascii="Times New Roman" w:eastAsia="Times New Roman" w:hAnsi="Times New Roman" w:cs="Times New Roman"/>
          <w:sz w:val="24"/>
          <w:szCs w:val="24"/>
          <w:lang w:eastAsia="tr-TR"/>
        </w:rPr>
        <w:t xml:space="preserve"> tutukluluğu sırasında cumhurbaşkanlığı seçim kampanyası yürütmesi nedeniyle </w:t>
      </w:r>
      <w:proofErr w:type="spellStart"/>
      <w:r w:rsidR="00D00DC6" w:rsidRPr="003D5488">
        <w:rPr>
          <w:rFonts w:ascii="Times New Roman" w:eastAsia="Times New Roman" w:hAnsi="Times New Roman" w:cs="Times New Roman"/>
          <w:sz w:val="24"/>
          <w:szCs w:val="24"/>
          <w:lang w:eastAsia="tr-TR"/>
        </w:rPr>
        <w:t>Sözleşme’ye</w:t>
      </w:r>
      <w:proofErr w:type="spellEnd"/>
      <w:r w:rsidR="00D00DC6" w:rsidRPr="003D5488">
        <w:rPr>
          <w:rFonts w:ascii="Times New Roman" w:eastAsia="Times New Roman" w:hAnsi="Times New Roman" w:cs="Times New Roman"/>
          <w:sz w:val="24"/>
          <w:szCs w:val="24"/>
          <w:lang w:eastAsia="tr-TR"/>
        </w:rPr>
        <w:t xml:space="preserve"> Ek 1 Numaralı Protokol’ün 3. maddesi altındaki </w:t>
      </w:r>
      <w:r w:rsidR="007E3DD1" w:rsidRPr="003D5488">
        <w:rPr>
          <w:rFonts w:ascii="Times New Roman" w:eastAsia="Times New Roman" w:hAnsi="Times New Roman" w:cs="Times New Roman"/>
          <w:sz w:val="24"/>
          <w:szCs w:val="24"/>
          <w:lang w:eastAsia="tr-TR"/>
        </w:rPr>
        <w:t>şikâyet</w:t>
      </w:r>
      <w:r w:rsidR="00D00DC6" w:rsidRPr="003D5488">
        <w:rPr>
          <w:rFonts w:ascii="Times New Roman" w:eastAsia="Times New Roman" w:hAnsi="Times New Roman" w:cs="Times New Roman"/>
          <w:sz w:val="24"/>
          <w:szCs w:val="24"/>
          <w:lang w:eastAsia="tr-TR"/>
        </w:rPr>
        <w:t xml:space="preserve">i bakımından Mahkeme, bu konunun ilk kez Büyük Daire’ye 16 Mayıs 2019 tarihinde sunulan beyanda dile getirildiğini, bu </w:t>
      </w:r>
      <w:r w:rsidR="007E3DD1" w:rsidRPr="003D5488">
        <w:rPr>
          <w:rFonts w:ascii="Times New Roman" w:eastAsia="Times New Roman" w:hAnsi="Times New Roman" w:cs="Times New Roman"/>
          <w:sz w:val="24"/>
          <w:szCs w:val="24"/>
          <w:lang w:eastAsia="tr-TR"/>
        </w:rPr>
        <w:t>şikâyet</w:t>
      </w:r>
      <w:r w:rsidR="00D00DC6" w:rsidRPr="003D5488">
        <w:rPr>
          <w:rFonts w:ascii="Times New Roman" w:eastAsia="Times New Roman" w:hAnsi="Times New Roman" w:cs="Times New Roman"/>
          <w:sz w:val="24"/>
          <w:szCs w:val="24"/>
          <w:lang w:eastAsia="tr-TR"/>
        </w:rPr>
        <w:t xml:space="preserve">in Daire’nin kabul edilebilirlik kararına </w:t>
      </w:r>
      <w:r w:rsidR="00DA1D16">
        <w:rPr>
          <w:rFonts w:ascii="Times New Roman" w:eastAsia="Times New Roman" w:hAnsi="Times New Roman" w:cs="Times New Roman"/>
          <w:sz w:val="24"/>
          <w:szCs w:val="24"/>
          <w:lang w:eastAsia="tr-TR"/>
        </w:rPr>
        <w:t>dâhil</w:t>
      </w:r>
      <w:r w:rsidR="00D00DC6" w:rsidRPr="003D5488">
        <w:rPr>
          <w:rFonts w:ascii="Times New Roman" w:eastAsia="Times New Roman" w:hAnsi="Times New Roman" w:cs="Times New Roman"/>
          <w:sz w:val="24"/>
          <w:szCs w:val="24"/>
          <w:lang w:eastAsia="tr-TR"/>
        </w:rPr>
        <w:t xml:space="preserve"> olmadığını söyleyerek yargılamanın bu aşamasında incelenemeyeceğine karar vermiştir.  pek</w:t>
      </w:r>
      <w:proofErr w:type="gramEnd"/>
      <w:r w:rsidR="00D00DC6" w:rsidRPr="003D5488">
        <w:rPr>
          <w:rFonts w:ascii="Times New Roman" w:eastAsia="Times New Roman" w:hAnsi="Times New Roman" w:cs="Times New Roman"/>
          <w:sz w:val="24"/>
          <w:szCs w:val="24"/>
          <w:lang w:eastAsia="tr-TR"/>
        </w:rPr>
        <w:t xml:space="preserve"> çok örnek arasından bakınız, </w:t>
      </w:r>
      <w:proofErr w:type="spellStart"/>
      <w:r w:rsidR="00D00DC6" w:rsidRPr="003D5488">
        <w:rPr>
          <w:rFonts w:ascii="Times New Roman" w:eastAsia="Times New Roman" w:hAnsi="Times New Roman" w:cs="Times New Roman"/>
          <w:i/>
          <w:iCs/>
          <w:sz w:val="24"/>
          <w:szCs w:val="24"/>
          <w:lang w:eastAsia="tr-TR"/>
        </w:rPr>
        <w:t>Rooman</w:t>
      </w:r>
      <w:proofErr w:type="spellEnd"/>
      <w:r w:rsidR="00D00DC6" w:rsidRPr="003D5488">
        <w:rPr>
          <w:rFonts w:ascii="Times New Roman" w:eastAsia="Times New Roman" w:hAnsi="Times New Roman" w:cs="Times New Roman"/>
          <w:i/>
          <w:iCs/>
          <w:sz w:val="24"/>
          <w:szCs w:val="24"/>
          <w:lang w:eastAsia="tr-TR"/>
        </w:rPr>
        <w:t xml:space="preserve"> v. Belçika</w:t>
      </w:r>
      <w:r w:rsidR="00D00DC6" w:rsidRPr="003D5488">
        <w:rPr>
          <w:rFonts w:ascii="Times New Roman" w:eastAsia="Times New Roman" w:hAnsi="Times New Roman" w:cs="Times New Roman"/>
          <w:sz w:val="24"/>
          <w:szCs w:val="24"/>
          <w:lang w:eastAsia="tr-TR"/>
        </w:rPr>
        <w:t> [BD</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18052/11, § 123, 31 </w:t>
      </w:r>
      <w:r w:rsidR="00D00DC6" w:rsidRPr="003D5488">
        <w:rPr>
          <w:rFonts w:ascii="Times New Roman" w:eastAsia="Times New Roman" w:hAnsi="Times New Roman" w:cs="Times New Roman"/>
          <w:sz w:val="24"/>
          <w:szCs w:val="24"/>
          <w:lang w:eastAsia="tr-TR"/>
        </w:rPr>
        <w:t>Ocak 2019)</w:t>
      </w:r>
    </w:p>
    <w:p w:rsidR="00D00DC6" w:rsidRPr="003D5488" w:rsidRDefault="00683825" w:rsidP="0060280C">
      <w:pPr>
        <w:shd w:val="clear" w:color="auto" w:fill="FFFFFF"/>
        <w:spacing w:after="0" w:line="276" w:lineRule="auto"/>
        <w:ind w:firstLine="23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169.  </w:t>
      </w:r>
      <w:r w:rsidR="00D00DC6" w:rsidRPr="003D5488">
        <w:rPr>
          <w:rFonts w:ascii="Times New Roman" w:eastAsia="Times New Roman" w:hAnsi="Times New Roman" w:cs="Times New Roman"/>
          <w:sz w:val="24"/>
          <w:szCs w:val="24"/>
          <w:lang w:eastAsia="tr-TR"/>
        </w:rPr>
        <w:t xml:space="preserve">Başvurucunun 10. madde altındaki </w:t>
      </w:r>
      <w:r w:rsidR="009A3C60" w:rsidRPr="003D5488">
        <w:rPr>
          <w:rFonts w:ascii="Times New Roman" w:eastAsia="Times New Roman" w:hAnsi="Times New Roman" w:cs="Times New Roman"/>
          <w:sz w:val="24"/>
          <w:szCs w:val="24"/>
          <w:lang w:eastAsia="tr-TR"/>
        </w:rPr>
        <w:t>şikâyeti</w:t>
      </w:r>
      <w:r w:rsidR="00D00DC6" w:rsidRPr="003D5488">
        <w:rPr>
          <w:rFonts w:ascii="Times New Roman" w:eastAsia="Times New Roman" w:hAnsi="Times New Roman" w:cs="Times New Roman"/>
          <w:sz w:val="24"/>
          <w:szCs w:val="24"/>
          <w:lang w:eastAsia="tr-TR"/>
        </w:rPr>
        <w:t xml:space="preserve"> bakımından Mahkeme, Daire’nin bu madde altındaki </w:t>
      </w:r>
      <w:r w:rsidR="009A3C60" w:rsidRPr="003D5488">
        <w:rPr>
          <w:rFonts w:ascii="Times New Roman" w:eastAsia="Times New Roman" w:hAnsi="Times New Roman" w:cs="Times New Roman"/>
          <w:sz w:val="24"/>
          <w:szCs w:val="24"/>
          <w:lang w:eastAsia="tr-TR"/>
        </w:rPr>
        <w:t>şikâyetin</w:t>
      </w:r>
      <w:r w:rsidR="00D00DC6" w:rsidRPr="003D5488">
        <w:rPr>
          <w:rFonts w:ascii="Times New Roman" w:eastAsia="Times New Roman" w:hAnsi="Times New Roman" w:cs="Times New Roman"/>
          <w:sz w:val="24"/>
          <w:szCs w:val="24"/>
          <w:lang w:eastAsia="tr-TR"/>
        </w:rPr>
        <w:t xml:space="preserve"> kabul edilebilirliğini ve esasını ayrıca incelemeye gerek görmediğini not etmiştir. Bu nedenle </w:t>
      </w:r>
      <w:r w:rsidR="009A3C60" w:rsidRPr="003D5488">
        <w:rPr>
          <w:rFonts w:ascii="Times New Roman" w:eastAsia="Times New Roman" w:hAnsi="Times New Roman" w:cs="Times New Roman"/>
          <w:sz w:val="24"/>
          <w:szCs w:val="24"/>
          <w:lang w:eastAsia="tr-TR"/>
        </w:rPr>
        <w:t>şikâyet</w:t>
      </w:r>
      <w:r w:rsidR="00D00DC6" w:rsidRPr="003D5488">
        <w:rPr>
          <w:rFonts w:ascii="Times New Roman" w:eastAsia="Times New Roman" w:hAnsi="Times New Roman" w:cs="Times New Roman"/>
          <w:sz w:val="24"/>
          <w:szCs w:val="24"/>
          <w:lang w:eastAsia="tr-TR"/>
        </w:rPr>
        <w:t>, kabul edilebilir ya da kabul edilemez bulunmamıştır. Bu konudaki içtihadına göre (bakınız</w:t>
      </w:r>
      <w:r w:rsidRPr="003D5488">
        <w:rPr>
          <w:rFonts w:ascii="Times New Roman" w:eastAsia="Times New Roman" w:hAnsi="Times New Roman" w:cs="Times New Roman"/>
          <w:sz w:val="24"/>
          <w:szCs w:val="24"/>
          <w:lang w:eastAsia="tr-TR"/>
        </w:rPr>
        <w:t> </w:t>
      </w:r>
      <w:proofErr w:type="spellStart"/>
      <w:r w:rsidRPr="003D5488">
        <w:rPr>
          <w:rFonts w:ascii="Times New Roman" w:eastAsia="Times New Roman" w:hAnsi="Times New Roman" w:cs="Times New Roman"/>
          <w:i/>
          <w:iCs/>
          <w:sz w:val="24"/>
          <w:szCs w:val="24"/>
          <w:lang w:eastAsia="tr-TR"/>
        </w:rPr>
        <w:t>Ilias</w:t>
      </w:r>
      <w:proofErr w:type="spellEnd"/>
      <w:r w:rsidRPr="003D5488">
        <w:rPr>
          <w:rFonts w:ascii="Times New Roman" w:eastAsia="Times New Roman" w:hAnsi="Times New Roman" w:cs="Times New Roman"/>
          <w:i/>
          <w:iCs/>
          <w:sz w:val="24"/>
          <w:szCs w:val="24"/>
          <w:lang w:eastAsia="tr-TR"/>
        </w:rPr>
        <w:t xml:space="preserve"> </w:t>
      </w:r>
      <w:r w:rsidR="00D00DC6" w:rsidRPr="003D5488">
        <w:rPr>
          <w:rFonts w:ascii="Times New Roman" w:eastAsia="Times New Roman" w:hAnsi="Times New Roman" w:cs="Times New Roman"/>
          <w:i/>
          <w:iCs/>
          <w:sz w:val="24"/>
          <w:szCs w:val="24"/>
          <w:lang w:eastAsia="tr-TR"/>
        </w:rPr>
        <w:t>ve</w:t>
      </w:r>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Ahmed</w:t>
      </w:r>
      <w:proofErr w:type="spellEnd"/>
      <w:r w:rsidRPr="003D5488">
        <w:rPr>
          <w:rFonts w:ascii="Times New Roman" w:eastAsia="Times New Roman" w:hAnsi="Times New Roman" w:cs="Times New Roman"/>
          <w:i/>
          <w:iCs/>
          <w:sz w:val="24"/>
          <w:szCs w:val="24"/>
          <w:lang w:eastAsia="tr-TR"/>
        </w:rPr>
        <w:t xml:space="preserve"> v. </w:t>
      </w:r>
      <w:r w:rsidR="00D00DC6" w:rsidRPr="003D5488">
        <w:rPr>
          <w:rFonts w:ascii="Times New Roman" w:eastAsia="Times New Roman" w:hAnsi="Times New Roman" w:cs="Times New Roman"/>
          <w:i/>
          <w:iCs/>
          <w:sz w:val="24"/>
          <w:szCs w:val="24"/>
          <w:lang w:eastAsia="tr-TR"/>
        </w:rPr>
        <w:t>Macaristan</w:t>
      </w:r>
      <w:r w:rsidRPr="003D5488">
        <w:rPr>
          <w:rFonts w:ascii="Times New Roman" w:eastAsia="Times New Roman" w:hAnsi="Times New Roman" w:cs="Times New Roman"/>
          <w:i/>
          <w:iCs/>
          <w:sz w:val="24"/>
          <w:szCs w:val="24"/>
          <w:lang w:eastAsia="tr-TR"/>
        </w:rPr>
        <w:t> </w:t>
      </w:r>
      <w:r w:rsidR="00D00DC6" w:rsidRPr="003D5488">
        <w:rPr>
          <w:rFonts w:ascii="Times New Roman" w:eastAsia="Times New Roman" w:hAnsi="Times New Roman" w:cs="Times New Roman"/>
          <w:sz w:val="24"/>
          <w:szCs w:val="24"/>
          <w:lang w:eastAsia="tr-TR"/>
        </w:rPr>
        <w:t>([BD</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47287/15, §§ 167-78, 21 </w:t>
      </w:r>
      <w:r w:rsidR="00D00DC6" w:rsidRPr="003D5488">
        <w:rPr>
          <w:rFonts w:ascii="Times New Roman" w:eastAsia="Times New Roman" w:hAnsi="Times New Roman" w:cs="Times New Roman"/>
          <w:sz w:val="24"/>
          <w:szCs w:val="24"/>
          <w:lang w:eastAsia="tr-TR"/>
        </w:rPr>
        <w:t xml:space="preserve">Kasım 2019) Mahkeme, bu </w:t>
      </w:r>
      <w:r w:rsidR="009A3C60" w:rsidRPr="003D5488">
        <w:rPr>
          <w:rFonts w:ascii="Times New Roman" w:eastAsia="Times New Roman" w:hAnsi="Times New Roman" w:cs="Times New Roman"/>
          <w:sz w:val="24"/>
          <w:szCs w:val="24"/>
          <w:lang w:eastAsia="tr-TR"/>
        </w:rPr>
        <w:t>şikâyetin</w:t>
      </w:r>
      <w:r w:rsidR="00D00DC6" w:rsidRPr="003D5488">
        <w:rPr>
          <w:rFonts w:ascii="Times New Roman" w:eastAsia="Times New Roman" w:hAnsi="Times New Roman" w:cs="Times New Roman"/>
          <w:sz w:val="24"/>
          <w:szCs w:val="24"/>
          <w:lang w:eastAsia="tr-TR"/>
        </w:rPr>
        <w:t xml:space="preserve"> bu davanın kapsamında olduğuna karar vermiştir. </w:t>
      </w:r>
    </w:p>
    <w:p w:rsidR="00DA1D16" w:rsidRPr="003D5488" w:rsidRDefault="00683825" w:rsidP="00DA1D16">
      <w:pPr>
        <w:shd w:val="clear" w:color="auto" w:fill="FFFFFF"/>
        <w:spacing w:after="0" w:line="276" w:lineRule="auto"/>
        <w:ind w:firstLine="232"/>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170.  </w:t>
      </w:r>
      <w:r w:rsidR="00D00DC6" w:rsidRPr="003D5488">
        <w:rPr>
          <w:rFonts w:ascii="Times New Roman" w:eastAsia="Times New Roman" w:hAnsi="Times New Roman" w:cs="Times New Roman"/>
          <w:sz w:val="24"/>
          <w:szCs w:val="24"/>
          <w:lang w:eastAsia="tr-TR"/>
        </w:rPr>
        <w:t xml:space="preserve">Bu bilgiler ışığında, </w:t>
      </w:r>
      <w:r w:rsidR="00D5157F" w:rsidRPr="003D5488">
        <w:rPr>
          <w:rFonts w:ascii="Times New Roman" w:eastAsia="Times New Roman" w:hAnsi="Times New Roman" w:cs="Times New Roman"/>
          <w:sz w:val="24"/>
          <w:szCs w:val="24"/>
          <w:lang w:eastAsia="tr-TR"/>
        </w:rPr>
        <w:t xml:space="preserve">söz konusu davada başvurucunun </w:t>
      </w:r>
      <w:r w:rsidR="009A3C60" w:rsidRPr="003D5488">
        <w:rPr>
          <w:rFonts w:ascii="Times New Roman" w:eastAsia="Times New Roman" w:hAnsi="Times New Roman" w:cs="Times New Roman"/>
          <w:sz w:val="24"/>
          <w:szCs w:val="24"/>
          <w:lang w:eastAsia="tr-TR"/>
        </w:rPr>
        <w:t>şikâyetleri</w:t>
      </w:r>
      <w:r w:rsidR="00D5157F" w:rsidRPr="003D5488">
        <w:rPr>
          <w:rFonts w:ascii="Times New Roman" w:eastAsia="Times New Roman" w:hAnsi="Times New Roman" w:cs="Times New Roman"/>
          <w:sz w:val="24"/>
          <w:szCs w:val="24"/>
          <w:lang w:eastAsia="tr-TR"/>
        </w:rPr>
        <w:t xml:space="preserve"> 5 § 1, 5 § 3, 5 § 4, 10, 5. maddeyle bağlantılı olarak 18. maddelerin ve Ek 1 Numaralı Protokol’ün 3. maddesinin ihlali iddiasını içermektedir. </w:t>
      </w:r>
    </w:p>
    <w:p w:rsidR="00D00DC6" w:rsidRPr="003D5488" w:rsidRDefault="00D00DC6" w:rsidP="0060280C">
      <w:pPr>
        <w:shd w:val="clear" w:color="auto" w:fill="FFFFFF"/>
        <w:spacing w:after="0" w:line="276" w:lineRule="auto"/>
        <w:ind w:firstLine="232"/>
        <w:jc w:val="both"/>
        <w:rPr>
          <w:rFonts w:ascii="Times New Roman" w:eastAsia="Times New Roman" w:hAnsi="Times New Roman" w:cs="Times New Roman"/>
          <w:sz w:val="24"/>
          <w:szCs w:val="24"/>
          <w:lang w:eastAsia="tr-TR"/>
        </w:rPr>
      </w:pPr>
    </w:p>
    <w:p w:rsidR="00627C77" w:rsidRPr="003D5488" w:rsidRDefault="00627C77" w:rsidP="00627C77">
      <w:pPr>
        <w:pStyle w:val="Balk1"/>
        <w:rPr>
          <w:color w:val="auto"/>
        </w:rPr>
      </w:pPr>
      <w:r w:rsidRPr="003D5488">
        <w:rPr>
          <w:color w:val="auto"/>
        </w:rPr>
        <w:t>HÜKÜMET</w:t>
      </w:r>
      <w:r w:rsidR="00DA1D16">
        <w:rPr>
          <w:color w:val="auto"/>
        </w:rPr>
        <w:t>’</w:t>
      </w:r>
      <w:r w:rsidRPr="003D5488">
        <w:rPr>
          <w:color w:val="auto"/>
        </w:rPr>
        <w:t>İN ÖN İTİRAZLARI</w:t>
      </w:r>
    </w:p>
    <w:p w:rsidR="00627C77" w:rsidRPr="003D5488" w:rsidRDefault="00627C77" w:rsidP="00627C77">
      <w:pPr>
        <w:rPr>
          <w:rFonts w:ascii="Times New Roman" w:hAnsi="Times New Roman" w:cs="Times New Roman"/>
          <w:sz w:val="24"/>
          <w:szCs w:val="24"/>
          <w:lang w:eastAsia="tr-TR"/>
        </w:rPr>
      </w:pPr>
      <w:r w:rsidRPr="003D5488">
        <w:rPr>
          <w:rFonts w:ascii="Times New Roman" w:hAnsi="Times New Roman" w:cs="Times New Roman"/>
          <w:sz w:val="24"/>
          <w:szCs w:val="24"/>
          <w:lang w:eastAsia="tr-TR"/>
        </w:rPr>
        <w:t>171.  Hükümet</w:t>
      </w:r>
      <w:r w:rsidR="008B68C0">
        <w:rPr>
          <w:rFonts w:ascii="Times New Roman" w:hAnsi="Times New Roman" w:cs="Times New Roman"/>
          <w:sz w:val="24"/>
          <w:szCs w:val="24"/>
          <w:lang w:eastAsia="tr-TR"/>
        </w:rPr>
        <w:t>,</w:t>
      </w:r>
      <w:r w:rsidRPr="003D5488">
        <w:rPr>
          <w:rFonts w:ascii="Times New Roman" w:hAnsi="Times New Roman" w:cs="Times New Roman"/>
          <w:sz w:val="24"/>
          <w:szCs w:val="24"/>
          <w:lang w:eastAsia="tr-TR"/>
        </w:rPr>
        <w:t xml:space="preserve"> beş ön itiraz ileri sürmüştür.</w:t>
      </w:r>
    </w:p>
    <w:p w:rsidR="00152D9D" w:rsidRPr="003D5488" w:rsidRDefault="00152D9D" w:rsidP="00724F6F">
      <w:pPr>
        <w:pStyle w:val="ListeParagraf"/>
        <w:keepNext/>
        <w:keepLines/>
        <w:numPr>
          <w:ilvl w:val="0"/>
          <w:numId w:val="20"/>
        </w:numPr>
        <w:spacing w:before="100" w:beforeAutospacing="1" w:after="240" w:line="240" w:lineRule="auto"/>
        <w:jc w:val="both"/>
        <w:outlineLvl w:val="2"/>
        <w:rPr>
          <w:rFonts w:ascii="Times New Roman" w:eastAsia="MS Gothic" w:hAnsi="Times New Roman" w:cs="Microsoft Himalaya"/>
          <w:b/>
          <w:bCs/>
          <w:noProof/>
          <w:sz w:val="24"/>
        </w:rPr>
      </w:pPr>
      <w:r w:rsidRPr="003D5488">
        <w:rPr>
          <w:rFonts w:ascii="Times New Roman" w:eastAsia="MS Gothic" w:hAnsi="Times New Roman" w:cs="Microsoft Himalaya"/>
          <w:b/>
          <w:bCs/>
          <w:noProof/>
          <w:sz w:val="24"/>
        </w:rPr>
        <w:t>Sözleşme'nin 35.</w:t>
      </w:r>
      <w:r w:rsidR="008B68C0">
        <w:rPr>
          <w:rFonts w:ascii="Times New Roman" w:eastAsia="MS Gothic" w:hAnsi="Times New Roman" w:cs="Microsoft Himalaya"/>
          <w:b/>
          <w:bCs/>
          <w:noProof/>
          <w:sz w:val="24"/>
        </w:rPr>
        <w:t xml:space="preserve"> </w:t>
      </w:r>
      <w:r w:rsidRPr="003D5488">
        <w:rPr>
          <w:rFonts w:ascii="Times New Roman" w:eastAsia="MS Gothic" w:hAnsi="Times New Roman" w:cs="Microsoft Himalaya"/>
          <w:b/>
          <w:bCs/>
          <w:noProof/>
          <w:sz w:val="24"/>
        </w:rPr>
        <w:t>maddesinin 2.</w:t>
      </w:r>
      <w:r w:rsidR="008B68C0">
        <w:rPr>
          <w:rFonts w:ascii="Times New Roman" w:eastAsia="MS Gothic" w:hAnsi="Times New Roman" w:cs="Microsoft Himalaya"/>
          <w:b/>
          <w:bCs/>
          <w:noProof/>
          <w:sz w:val="24"/>
        </w:rPr>
        <w:t xml:space="preserve"> </w:t>
      </w:r>
      <w:r w:rsidRPr="003D5488">
        <w:rPr>
          <w:rFonts w:ascii="Times New Roman" w:eastAsia="MS Gothic" w:hAnsi="Times New Roman" w:cs="Microsoft Himalaya"/>
          <w:b/>
          <w:bCs/>
          <w:noProof/>
          <w:sz w:val="24"/>
        </w:rPr>
        <w:t>fıkrasının b bendine ilişkin ön itiraz</w:t>
      </w:r>
    </w:p>
    <w:p w:rsidR="00420F09" w:rsidRPr="003D5488" w:rsidRDefault="00152D9D" w:rsidP="00724F6F">
      <w:pPr>
        <w:pStyle w:val="Balk2"/>
        <w:numPr>
          <w:ilvl w:val="0"/>
          <w:numId w:val="19"/>
        </w:numPr>
        <w:tabs>
          <w:tab w:val="left" w:pos="900"/>
        </w:tabs>
        <w:ind w:hanging="720"/>
        <w:rPr>
          <w:noProof/>
          <w:color w:val="auto"/>
        </w:rPr>
      </w:pPr>
      <w:r w:rsidRPr="003D5488">
        <w:rPr>
          <w:noProof/>
          <w:color w:val="auto"/>
        </w:rPr>
        <w:t>Büyük Daire’nin Değerlendirmesi</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1</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Mevcut davada, Mahkeme, Komisyon'un </w:t>
      </w:r>
      <w:r w:rsidRPr="003D5488">
        <w:rPr>
          <w:rFonts w:ascii="Times New Roman" w:eastAsia="Times New Roman" w:hAnsi="Times New Roman" w:cs="Microsoft Himalaya"/>
          <w:i/>
          <w:iCs/>
          <w:noProof/>
          <w:sz w:val="24"/>
          <w:szCs w:val="24"/>
        </w:rPr>
        <w:t>Lukanov</w:t>
      </w:r>
      <w:r w:rsidRPr="003D5488">
        <w:rPr>
          <w:rFonts w:ascii="Times New Roman" w:eastAsia="Times New Roman" w:hAnsi="Times New Roman" w:cs="Microsoft Himalaya"/>
          <w:noProof/>
          <w:sz w:val="24"/>
          <w:szCs w:val="24"/>
        </w:rPr>
        <w:t>'da verdiği karardan (yukarıda anılan) bu yana ilk kez, Sözleşme'nin 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fıkrasının b bendi açısından </w:t>
      </w:r>
      <w:r w:rsidR="008B68C0">
        <w:rPr>
          <w:rFonts w:ascii="Times New Roman" w:eastAsia="Times New Roman" w:hAnsi="Times New Roman" w:cs="Microsoft Himalaya"/>
          <w:noProof/>
          <w:sz w:val="24"/>
          <w:szCs w:val="24"/>
        </w:rPr>
        <w:t xml:space="preserve">Uluslararası </w:t>
      </w:r>
      <w:r w:rsidRPr="003D5488">
        <w:rPr>
          <w:rFonts w:ascii="Times New Roman" w:eastAsia="Times New Roman" w:hAnsi="Times New Roman" w:cs="Microsoft Himalaya"/>
          <w:noProof/>
          <w:sz w:val="24"/>
          <w:szCs w:val="24"/>
        </w:rPr>
        <w:t>Parlamentolar Arası Birlik</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(PAB) Komitesi’ne yapılan bir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in "başka bir uluslararası araştırma veya çözüm prosedürü" olarak kabul edilip edilemeyeceğini incelemeye davet edilmektedir.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lastRenderedPageBreak/>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Mahkeme, ilk olarak bunun Sözleşme'nin </w:t>
      </w:r>
      <w:r w:rsidRPr="003D5488">
        <w:rPr>
          <w:rFonts w:ascii="Times New Roman" w:eastAsia="Times New Roman" w:hAnsi="Times New Roman" w:cs="Microsoft Himalaya"/>
          <w:i/>
          <w:iCs/>
          <w:noProof/>
          <w:sz w:val="24"/>
          <w:szCs w:val="24"/>
        </w:rPr>
        <w:t xml:space="preserve">lis pendens ilkesini </w:t>
      </w:r>
      <w:r w:rsidRPr="003D5488">
        <w:rPr>
          <w:rFonts w:ascii="Times New Roman" w:eastAsia="Times New Roman" w:hAnsi="Times New Roman" w:cs="Microsoft Himalaya"/>
          <w:noProof/>
          <w:sz w:val="24"/>
          <w:szCs w:val="24"/>
        </w:rPr>
        <w:t>yansıtan 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fıkrasının b bendinin ikinci kısmı ile ilgili olduğunu gözlemlemektedir. Amacı, birkaç uluslararası kuruluşun büyük ölçüde aynı olan başvurularla aynı anda ilgileneceği bir durumdan kaçınmaktır; bu, aynı davalara ilişkin çok sayıda uluslararası yargılamadan kaçınmayı amaçlayan Sözleşme’nin ruhuna ve lafzına aykırı olacaktır (bakınız </w:t>
      </w:r>
      <w:r w:rsidRPr="003D5488">
        <w:rPr>
          <w:rFonts w:ascii="Times New Roman" w:eastAsia="Times New Roman" w:hAnsi="Times New Roman" w:cs="Microsoft Himalaya"/>
          <w:i/>
          <w:iCs/>
          <w:noProof/>
          <w:sz w:val="24"/>
          <w:szCs w:val="24"/>
        </w:rPr>
        <w:t>Radomilja ve diğerleri v. Hırvatistan</w:t>
      </w:r>
      <w:r w:rsidRPr="003D5488">
        <w:rPr>
          <w:rFonts w:ascii="Times New Roman" w:eastAsia="Times New Roman" w:hAnsi="Times New Roman" w:cs="Microsoft Himalaya"/>
          <w:noProof/>
          <w:sz w:val="24"/>
          <w:szCs w:val="24"/>
        </w:rPr>
        <w:t xml:space="preserve"> [BD], no. 37685/10 ve 22768/12, § 119, 20 Mart 2018).</w:t>
      </w:r>
    </w:p>
    <w:p w:rsidR="00152D9D" w:rsidRPr="003D5488" w:rsidRDefault="00152D9D" w:rsidP="008273E0">
      <w:pPr>
        <w:spacing w:after="0" w:line="240" w:lineRule="auto"/>
        <w:ind w:firstLine="284"/>
        <w:jc w:val="both"/>
        <w:rPr>
          <w:rFonts w:ascii="Times New Roman" w:eastAsia="Times New Roman" w:hAnsi="Times New Roman" w:cs="Microsoft Himalaya"/>
          <w:noProof/>
          <w:snapToGrid w:val="0"/>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3</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noProof/>
          <w:snapToGrid w:val="0"/>
          <w:sz w:val="24"/>
          <w:szCs w:val="24"/>
        </w:rPr>
        <w:t xml:space="preserve">Bu kriterin ilk kısmı ile ilgili olarak, Mahkeme, olayların, tarafların ve </w:t>
      </w:r>
      <w:r w:rsidR="007E3DD1" w:rsidRPr="003D5488">
        <w:rPr>
          <w:rFonts w:ascii="Times New Roman" w:eastAsia="Times New Roman" w:hAnsi="Times New Roman" w:cs="Microsoft Himalaya"/>
          <w:noProof/>
          <w:snapToGrid w:val="0"/>
          <w:sz w:val="24"/>
          <w:szCs w:val="24"/>
        </w:rPr>
        <w:t>şikâyet</w:t>
      </w:r>
      <w:r w:rsidRPr="003D5488">
        <w:rPr>
          <w:rFonts w:ascii="Times New Roman" w:eastAsia="Times New Roman" w:hAnsi="Times New Roman" w:cs="Microsoft Himalaya"/>
          <w:noProof/>
          <w:snapToGrid w:val="0"/>
          <w:sz w:val="24"/>
          <w:szCs w:val="24"/>
        </w:rPr>
        <w:t xml:space="preserve">lerin aynı olduğunda başvurunun "esas olarak aynı" olarak değerlendirildiğini yinelemektedir (bakınız </w:t>
      </w:r>
      <w:r w:rsidRPr="003D5488">
        <w:rPr>
          <w:rFonts w:ascii="Times New Roman" w:eastAsia="Times New Roman" w:hAnsi="Times New Roman" w:cs="Microsoft Himalaya"/>
          <w:i/>
          <w:iCs/>
          <w:noProof/>
          <w:snapToGrid w:val="0"/>
          <w:sz w:val="24"/>
          <w:szCs w:val="24"/>
        </w:rPr>
        <w:t>Gürdeniz</w:t>
      </w:r>
      <w:r w:rsidRPr="003D5488">
        <w:rPr>
          <w:rFonts w:ascii="Times New Roman" w:eastAsia="Times New Roman" w:hAnsi="Times New Roman" w:cs="Microsoft Himalaya"/>
          <w:noProof/>
          <w:snapToGrid w:val="0"/>
          <w:sz w:val="24"/>
          <w:szCs w:val="24"/>
        </w:rPr>
        <w:t>, yukarıda anılan, 41. paragraf).</w:t>
      </w:r>
    </w:p>
    <w:p w:rsidR="00152D9D" w:rsidRPr="003D5488" w:rsidRDefault="00152D9D" w:rsidP="008273E0">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4</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w:t>
      </w:r>
      <w:r w:rsidRPr="003D5488">
        <w:rPr>
          <w:rFonts w:ascii="Times New Roman" w:eastAsia="Times New Roman" w:hAnsi="Times New Roman" w:cs="Times New Roman"/>
          <w:noProof/>
          <w:sz w:val="24"/>
          <w:szCs w:val="24"/>
        </w:rPr>
        <w:t xml:space="preserve">İkinci kısım, yani bireysel bir başvuruda dile getirilen bir konunun, </w:t>
      </w:r>
      <w:r w:rsidRPr="003D5488">
        <w:rPr>
          <w:rFonts w:ascii="Times New Roman" w:eastAsia="Times New Roman" w:hAnsi="Times New Roman" w:cs="Microsoft Himalaya"/>
          <w:noProof/>
          <w:sz w:val="24"/>
          <w:szCs w:val="24"/>
        </w:rPr>
        <w:t>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fıkrasının b bendinde</w:t>
      </w:r>
      <w:r w:rsidRPr="003D5488">
        <w:rPr>
          <w:rFonts w:ascii="Times New Roman" w:eastAsia="Times New Roman" w:hAnsi="Times New Roman" w:cs="Times New Roman"/>
          <w:noProof/>
          <w:sz w:val="24"/>
          <w:szCs w:val="24"/>
        </w:rPr>
        <w:t xml:space="preserve"> öngörülen hükümler anlamında "başka bir uluslararası soruşturma veya çözüm usulüne" sunulup sunulmadığıyla ilgili olarak, Mahkeme, incelemesinin resmi bir doğrulama ile sınırlı olmadığını, ancak uygun olduğu durumlarda, denetim organının niteliğinin, izlediği usulün ve kararlarının etkisinin, Mahkeme’nin yargı yetkisinin bu hüküm tarafından hariç tutulacak şekilde olup olmadığını belirlemeye kadar uzanacağını yinelemektedir (bakınız </w:t>
      </w:r>
      <w:r w:rsidRPr="003D5488">
        <w:rPr>
          <w:rFonts w:ascii="Times New Roman" w:eastAsia="Times New Roman" w:hAnsi="Times New Roman" w:cs="Times New Roman"/>
          <w:i/>
          <w:iCs/>
          <w:noProof/>
          <w:sz w:val="24"/>
          <w:szCs w:val="24"/>
        </w:rPr>
        <w:t>Mahkeme'nin tavsiye görüşü verme yetkisine ilişkin karar</w:t>
      </w:r>
      <w:r w:rsidRPr="003D5488">
        <w:rPr>
          <w:rFonts w:ascii="Times New Roman" w:eastAsia="Times New Roman" w:hAnsi="Times New Roman" w:cs="Times New Roman"/>
          <w:noProof/>
          <w:sz w:val="24"/>
          <w:szCs w:val="24"/>
        </w:rPr>
        <w:t>, § 31, ECHR 2004 VI). Bu bağlamda, Mahkemenin incelemesinin temel amacı, söz konusu organ önündeki prosedürün, usuli yönleri ve olası etkileri bakımından Sözleşme'nin 34.</w:t>
      </w:r>
      <w:r w:rsidR="008B68C0">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maddesinde belirtilen bireysel başvuru hakkına benzer olarak değerlendirilip değerlendirilemeyeceğini belirlemektir. Mahkeme ayrıca, 34.</w:t>
      </w:r>
      <w:r w:rsidR="008B68C0">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 uyarınca yapılan başvurulara ilişkin görevlerinden birinin münferit davalarda adaleti sağlamak ve gerekirse adil tazminatı sağlamak olduğunu yinelemektedir.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5</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Mahkeme, bu alandaki kriterleri </w:t>
      </w:r>
      <w:r w:rsidRPr="003D5488">
        <w:rPr>
          <w:rFonts w:ascii="Times New Roman" w:eastAsia="Times New Roman" w:hAnsi="Times New Roman" w:cs="Microsoft Himalaya"/>
          <w:i/>
          <w:iCs/>
          <w:noProof/>
          <w:sz w:val="24"/>
          <w:szCs w:val="24"/>
        </w:rPr>
        <w:t>Yunanistan Banka Çalışan Sendikaları Federasyonu v. Yunanistan'da</w:t>
      </w:r>
      <w:r w:rsidR="008B68C0">
        <w:rPr>
          <w:rFonts w:ascii="Times New Roman" w:eastAsia="Times New Roman" w:hAnsi="Times New Roman" w:cs="Microsoft Himalaya"/>
          <w:noProof/>
          <w:sz w:val="24"/>
          <w:szCs w:val="24"/>
        </w:rPr>
        <w:t xml:space="preserve"> (kek.</w:t>
      </w:r>
      <w:r w:rsidRPr="003D5488">
        <w:rPr>
          <w:rFonts w:ascii="Times New Roman" w:eastAsia="Times New Roman" w:hAnsi="Times New Roman" w:cs="Microsoft Himalaya"/>
          <w:noProof/>
          <w:sz w:val="24"/>
          <w:szCs w:val="24"/>
        </w:rPr>
        <w:t xml:space="preserve">), no. 72808/10, §§ 32-45, 6 Aralık 2011) tanımlamıştır. Mahkeme, söz konusu prosedürün, başvurucuya etkili koruma sağlayan bir dizi özellik ve garantiler içermesi gerektiğine karar vermiştir. Devlet adına sorumluluk tesis etme (bakınız </w:t>
      </w:r>
      <w:r w:rsidRPr="003D5488">
        <w:rPr>
          <w:rFonts w:ascii="Times New Roman" w:eastAsia="Times New Roman" w:hAnsi="Times New Roman" w:cs="Microsoft Himalaya"/>
          <w:i/>
          <w:iCs/>
          <w:noProof/>
          <w:sz w:val="24"/>
          <w:szCs w:val="24"/>
        </w:rPr>
        <w:t>Peraldi v. Fransa</w:t>
      </w:r>
      <w:r w:rsidR="008B68C0">
        <w:rPr>
          <w:rFonts w:ascii="Times New Roman" w:eastAsia="Times New Roman" w:hAnsi="Times New Roman" w:cs="Microsoft Himalaya"/>
          <w:noProof/>
          <w:sz w:val="24"/>
          <w:szCs w:val="24"/>
        </w:rPr>
        <w:t xml:space="preserve"> (kek.</w:t>
      </w:r>
      <w:r w:rsidRPr="003D5488">
        <w:rPr>
          <w:rFonts w:ascii="Times New Roman" w:eastAsia="Times New Roman" w:hAnsi="Times New Roman" w:cs="Microsoft Himalaya"/>
          <w:noProof/>
          <w:sz w:val="24"/>
          <w:szCs w:val="24"/>
        </w:rPr>
        <w:t xml:space="preserve">), no. 2096/05, 7 Nisan 2009) ve iddia edilen ihlali uygun tazminat önererek sona erdirme (bakınız </w:t>
      </w:r>
      <w:r w:rsidRPr="003D5488">
        <w:rPr>
          <w:rFonts w:ascii="Times New Roman" w:eastAsia="Times New Roman" w:hAnsi="Times New Roman" w:cs="Microsoft Himalaya"/>
          <w:i/>
          <w:iCs/>
          <w:noProof/>
          <w:sz w:val="24"/>
          <w:szCs w:val="24"/>
        </w:rPr>
        <w:t>Mikolenko v. Estonya</w:t>
      </w:r>
      <w:r w:rsidR="008B68C0">
        <w:rPr>
          <w:rFonts w:ascii="Times New Roman" w:eastAsia="Times New Roman" w:hAnsi="Times New Roman" w:cs="Microsoft Himalaya"/>
          <w:noProof/>
          <w:sz w:val="24"/>
          <w:szCs w:val="24"/>
        </w:rPr>
        <w:t xml:space="preserve"> (kek.</w:t>
      </w:r>
      <w:r w:rsidRPr="003D5488">
        <w:rPr>
          <w:rFonts w:ascii="Times New Roman" w:eastAsia="Times New Roman" w:hAnsi="Times New Roman" w:cs="Microsoft Himalaya"/>
          <w:noProof/>
          <w:sz w:val="24"/>
          <w:szCs w:val="24"/>
        </w:rPr>
        <w:t>), No. 16944/03, 5 Ocak 2006) kabiliyetine ek olarak böyle bir mekanizma aynı zamanda aleni, uluslararası ve adli veya yarı adli olmalıdır.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6</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i/>
          <w:iCs/>
          <w:noProof/>
          <w:sz w:val="24"/>
          <w:szCs w:val="24"/>
        </w:rPr>
        <w:t>Lukanov'</w:t>
      </w:r>
      <w:r w:rsidRPr="003D5488">
        <w:rPr>
          <w:rFonts w:ascii="Times New Roman" w:eastAsia="Times New Roman" w:hAnsi="Times New Roman" w:cs="Microsoft Himalaya"/>
          <w:noProof/>
          <w:sz w:val="24"/>
          <w:szCs w:val="24"/>
        </w:rPr>
        <w:t>da (yukarıda anılan), Komisyon, "başka bir usul" teriminin, Sözleşme tarafından belirlenenlere benzer adli veya yarı yargısal işlemlere atıfta bulunduğu ve “uluslararası soruşturma veya çözüm” teriminin, Devletler tarafından kurulan kurum ve prosedürleri ifade ettiğini ve dolayısıyla sivil toplum kuruluşlarını kapsamadığını belirtmiştir. Komisyon ayrıca, Sözleşme'nin 27.</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1.</w:t>
      </w:r>
      <w:r w:rsidR="008B68C0">
        <w:rPr>
          <w:rFonts w:ascii="Times New Roman" w:eastAsia="Times New Roman" w:hAnsi="Times New Roman" w:cs="Microsoft Himalaya"/>
          <w:noProof/>
          <w:sz w:val="24"/>
          <w:szCs w:val="24"/>
        </w:rPr>
        <w:t xml:space="preserve"> fıkrasının b</w:t>
      </w:r>
      <w:r w:rsidRPr="003D5488">
        <w:rPr>
          <w:rFonts w:ascii="Times New Roman" w:eastAsia="Times New Roman" w:hAnsi="Times New Roman" w:cs="Microsoft Himalaya"/>
          <w:noProof/>
          <w:sz w:val="24"/>
          <w:szCs w:val="24"/>
        </w:rPr>
        <w:t xml:space="preserve"> bendinin (bugünkü 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fıkrasının b bendine eşdeğer) hükümetler arası kurum ve </w:t>
      </w:r>
      <w:r w:rsidRPr="003D5488">
        <w:rPr>
          <w:rFonts w:ascii="Times New Roman" w:eastAsia="Times New Roman" w:hAnsi="Times New Roman" w:cs="Microsoft Himalaya"/>
          <w:noProof/>
          <w:sz w:val="24"/>
          <w:szCs w:val="24"/>
        </w:rPr>
        <w:lastRenderedPageBreak/>
        <w:t>usullere atıfta bulunduğunu tespit etmiştir. Bu nedenle Komisyon, sivil toplum örgütleri tarafından kurulan mekanizmaların açıkça Sözleşme'nin 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fıkrasının b bendinin kapsamı dışında bırakıldığını açıklamıştır. Bununla birlikte, belirli bir mekanizma bir sivil toplum kuruluşu tarafından kurulmamış olsa bile, bu otomatik olarak "başka bir uluslararası araştırma veya çözüm prosedürü" olarak nitelendirildiği anlamına gelmemektedir. Sonuçta, Mahkemenin bu gibi durumlarda yanıtlaması istenen soru bu mekanizmanın, diğerlerinin yanı sıra, </w:t>
      </w:r>
      <w:r w:rsidRPr="003D5488">
        <w:rPr>
          <w:rFonts w:ascii="Times New Roman" w:eastAsia="Times New Roman" w:hAnsi="Times New Roman" w:cs="Microsoft Himalaya"/>
          <w:i/>
          <w:iCs/>
          <w:noProof/>
          <w:sz w:val="24"/>
          <w:szCs w:val="24"/>
        </w:rPr>
        <w:t>Yunanistan Banka Çalışanları Sendikaları Federasyonu'nda</w:t>
      </w:r>
      <w:r w:rsidRPr="003D5488">
        <w:rPr>
          <w:rFonts w:ascii="Times New Roman" w:eastAsia="Times New Roman" w:hAnsi="Times New Roman" w:cs="Microsoft Himalaya"/>
          <w:noProof/>
          <w:sz w:val="24"/>
          <w:szCs w:val="24"/>
        </w:rPr>
        <w:t xml:space="preserve"> (yukarıda anılan) belirtilen kriterler ışığında "Sözleşme tarafından belirlenenlere benzer adli veya yarı adli işlemler" olup olmadığı ve karşılaması gereken kurumsal ve prosedürel güvencelerin sağlayıp sağlamadığıdır.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7</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Bu bağlamda, söz konusu mekaniz</w:t>
      </w:r>
      <w:r w:rsidR="008B68C0">
        <w:rPr>
          <w:rFonts w:ascii="Times New Roman" w:eastAsia="Times New Roman" w:hAnsi="Times New Roman" w:cs="Microsoft Himalaya"/>
          <w:noProof/>
          <w:sz w:val="24"/>
          <w:szCs w:val="24"/>
        </w:rPr>
        <w:t>ma ve üyeleri, Sözleşme'nin 6. m</w:t>
      </w:r>
      <w:r w:rsidRPr="003D5488">
        <w:rPr>
          <w:rFonts w:ascii="Times New Roman" w:eastAsia="Times New Roman" w:hAnsi="Times New Roman" w:cs="Microsoft Himalaya"/>
          <w:noProof/>
          <w:sz w:val="24"/>
          <w:szCs w:val="24"/>
        </w:rPr>
        <w:t xml:space="preserve">addesi uyarınca bağımsız ve tarafsız olmalıdır (bakınız yukarıda anılan </w:t>
      </w:r>
      <w:r w:rsidRPr="003D5488">
        <w:rPr>
          <w:rFonts w:ascii="Times New Roman" w:eastAsia="Times New Roman" w:hAnsi="Times New Roman" w:cs="Microsoft Himalaya"/>
          <w:i/>
          <w:iCs/>
          <w:noProof/>
          <w:sz w:val="24"/>
          <w:szCs w:val="24"/>
        </w:rPr>
        <w:t>Peraldi</w:t>
      </w:r>
      <w:r w:rsidRPr="003D5488">
        <w:rPr>
          <w:rFonts w:ascii="Times New Roman" w:eastAsia="Times New Roman" w:hAnsi="Times New Roman" w:cs="Microsoft Himalaya"/>
          <w:noProof/>
          <w:sz w:val="24"/>
          <w:szCs w:val="24"/>
        </w:rPr>
        <w:t xml:space="preserve"> ve yukarıda anılan </w:t>
      </w:r>
      <w:r w:rsidRPr="003D5488">
        <w:rPr>
          <w:rFonts w:ascii="Times New Roman" w:eastAsia="Times New Roman" w:hAnsi="Times New Roman" w:cs="Microsoft Himalaya"/>
          <w:i/>
          <w:iCs/>
          <w:noProof/>
          <w:sz w:val="24"/>
          <w:szCs w:val="24"/>
        </w:rPr>
        <w:t>Yunanistan Banka Çalışanları Sendikaları Federasyonu</w:t>
      </w:r>
      <w:r w:rsidRPr="003D5488">
        <w:rPr>
          <w:rFonts w:ascii="Times New Roman" w:eastAsia="Times New Roman" w:hAnsi="Times New Roman" w:cs="Microsoft Himalaya"/>
          <w:noProof/>
          <w:sz w:val="24"/>
          <w:szCs w:val="24"/>
        </w:rPr>
        <w:t xml:space="preserve">, §§ 35-37). Usule ilişkin güvenceler söz konusu olduğunda, Mahkeme, bir yargısal veya yarı-yargısal organın, her bir tarafın diğer tarafın görüşleri hakkında bilgilendirilmesini ve bunlara yanıt vermesini sağlayan bir çekişme usulü sunması gerektiğini düşünmektedir. Taraflar ayrıca alınan önlemler ve alınan kararlardan haberdar edilmelidir. Bu türden bir organ, örneğin gözlemler sunarak, tarafların yargılamalara katılma hakkına da saygı göstermelidir. Buna ek olarak, organ, kararlarını kamuya açıklayarak ve gerekçelerini belirterek bireysel başvurulara yanıt vermelidir (yukarıda anılan </w:t>
      </w:r>
      <w:r w:rsidRPr="003D5488">
        <w:rPr>
          <w:rFonts w:ascii="Times New Roman" w:eastAsia="Times New Roman" w:hAnsi="Times New Roman" w:cs="Microsoft Himalaya"/>
          <w:i/>
          <w:iCs/>
          <w:noProof/>
          <w:sz w:val="24"/>
          <w:szCs w:val="24"/>
        </w:rPr>
        <w:t>Mikolenko ve Celniku v. Yunanistan</w:t>
      </w:r>
      <w:r w:rsidRPr="003D5488">
        <w:rPr>
          <w:rFonts w:ascii="Times New Roman" w:eastAsia="Times New Roman" w:hAnsi="Times New Roman" w:cs="Microsoft Himalaya"/>
          <w:noProof/>
          <w:sz w:val="24"/>
          <w:szCs w:val="24"/>
        </w:rPr>
        <w:t xml:space="preserve">, no. 21449/04, § 40, 5 Temmuz 2007 ile karşılaştırın). Ayrıca, Devletin incelemesinin dayandığı hukuki belge kapsamındaki sorumluluğunu belirleyebilmeli ve iddia edilen ihlale son verebilecek yasal tazminat sağlayabilmelidir (yukarıda anılan </w:t>
      </w:r>
      <w:r w:rsidRPr="003D5488">
        <w:rPr>
          <w:rFonts w:ascii="Times New Roman" w:eastAsia="Times New Roman" w:hAnsi="Times New Roman" w:cs="Microsoft Himalaya"/>
          <w:i/>
          <w:iCs/>
          <w:noProof/>
          <w:sz w:val="24"/>
          <w:szCs w:val="24"/>
        </w:rPr>
        <w:t>Mikolenko</w:t>
      </w:r>
      <w:r w:rsidRPr="003D5488">
        <w:rPr>
          <w:rFonts w:ascii="Times New Roman" w:eastAsia="Times New Roman" w:hAnsi="Times New Roman" w:cs="Microsoft Himalaya"/>
          <w:noProof/>
          <w:sz w:val="24"/>
          <w:szCs w:val="24"/>
        </w:rPr>
        <w:t xml:space="preserve"> ile karşılaştırın; ve Karoussiotis v. Portekiz, no. 23205/08, §§ 59-76, ECHR 2011 (extracts)).</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8</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Mahkeme ayrıca, Sözleşme’de öngörülenlere benzer yargısal veya yarı yargısal işlemlerin gerekliliği, zorunlu olarak söz konusu organ tarafından yürütülen incelemenin kapsamı açısından açıkça tanımlandığını ve Devletler tarafından devletlerin aleyhinde getirilen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leri değerlendirme ve belirleme yetkisini verdikleri bir yasal belgeye veya "çerçeveye" dayalı olarak belirli haklar ve standartlarla sınırlı olduğunu ifade etmektedir. Bu, özellikle böyle bir mekanizma arasındaki benzerliklerin analizi bağlamında önemlidir ve Mahkeme'nin görevi, Sözleşme'nin 32. maddesi gereğince, Sözleşme hükümlerini yorumlamak ve uygulamak olduğundan ve 19. maddede belirtildiği üzere Sözleşmeye taraf devletler tarafından Sözleşmede üstlenilen görevlere uyulmasını sağlamak olduğundan, belirli bir organın yetkilerini etkin bir şekilde sınırlandıran yasal bir belgenin yokluğunda, Mahkeme’nin bu organın yapısını ve işlevlerini ve üye Devletlerin yükümlülüklerini tespit etmesi daha zor olacaktır.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lastRenderedPageBreak/>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9</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Mevcut davanın koşullarına geri dönerek, Hükümet, özellikle PAB’ın yasal statüsünün, Komisyon'un Lukanov'daki kararından(yukarıda anılan) bu yana değiştiğini ve görüşüne</w:t>
      </w:r>
      <w:r w:rsidR="008B68C0">
        <w:rPr>
          <w:rFonts w:ascii="Times New Roman" w:eastAsia="Times New Roman" w:hAnsi="Times New Roman" w:cs="Microsoft Himalaya"/>
          <w:noProof/>
          <w:sz w:val="24"/>
          <w:szCs w:val="24"/>
        </w:rPr>
        <w:t xml:space="preserve"> göre, artık 35. maddenin 2. fıkrasının b bendi </w:t>
      </w:r>
      <w:r w:rsidRPr="003D5488">
        <w:rPr>
          <w:rFonts w:ascii="Times New Roman" w:eastAsia="Times New Roman" w:hAnsi="Times New Roman" w:cs="Microsoft Himalaya"/>
          <w:noProof/>
          <w:sz w:val="24"/>
          <w:szCs w:val="24"/>
        </w:rPr>
        <w:t>kapsamına giren bir "uluslararası devlet örgütü" olarak görülmesi gerektiğini savunmuştur. Yukarıda bahsedilen Lukanov ikileminde PAB’ın statüsünün bu kararın tarihinden bu yana değiştiğini varsayarsak bile, Mahkeme, mevcut davada 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fıkrasının b bendi uyarınca incelenmesi amacıyla bu sorunu çözmesi gerekmediği kanaatindedir. Bunun yerine, Mahkeme incelemesini PAB Komitesi önündeki prosedürün, belirli özellikleri ve potansiyel etkileri bakımından Sözleşme'nin 34. maddesi uyarınca yapılan bireysel başvurulara benzer olup olmadığına odaklayacaktır. Bu amaçla, yukarıda belirtilen kriterleri karşılayıp karşılamadığına karar vermek için PAB Komitesi nezdinde prosedürün niteliğine ilişkin bir değerlendirme yapacaktır.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10</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Bu bağlamda, bir birey ile bir Devlet arasındaki ihtilaflarda, Devletlerin açıkça tanımlanmış belirli haklar bakımından bunu yapma yetkisini tanımayı kabul ettikleri bir yasal araç temelinde hüküm vermek PAB Komitesi’nin görevi değildir. Aslında, Şubat 1989'da kabul edilen ve Mayıs 2007, Mart 2014, Nisan 2015 ve Nisan 2017'de revize edilen PAB Komitesi Kural ve Uygulamalarında belirtildiği gibi, PAB Komitesi’nin amacı, mevcut ve bazı durumlarda, genel olarak hakları risk altında olduğunda veya ihlal edilmiş gibi göründüğünde genel olarak eski milletvekillerinin insan haklarını savunmaktır. Amaçları, olası ihlalleri önlemek, devam eden ihlalleri sona erdirmek ve/veya ihlallerin etkili bir şekilde telafi edilmesi için “tatminkar bir çözüm arayışı içinde, ilgili ülkelerin yetkilileri, en başta parlamentoları olmak üzere, bir diyaloğu geliştirmek için mümkün olan her şeyi yaparak” Devlet eylemini teşvik etmektir. Sonuç olarak, PAB Komitesi bir Devletin belirli bir yasal araç kapsamındaki yükümlülüklerine uyulup uyulmadığını gözden geçirmeye çalışmaz. Bu nedenle PAB Komitesi’nin, Sözleşme tarafından belirlenene benzer bir yargısal veya yarı yargısal prosedür sunduğu söylenemez.</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11</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Bu sonucun ışığında, Mahkeme, mevcut başvurunun PAB Komitesi önüne getirilen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 xml:space="preserve"> ile "esas olarak aynı" olup olmadığını ayrı ayrı incelemenin gereksiz olduğunu düşünmektedir.</w:t>
      </w:r>
    </w:p>
    <w:p w:rsidR="00152D9D" w:rsidRPr="003D5488" w:rsidRDefault="00152D9D" w:rsidP="00152D9D">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12</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Yukarıda belirtilen hususlar göz önüne alındığında, Hükümetin Sözleşme'nin 35.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2.</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fıkrasının b bendi uyarınca yaptığı itiraz reddedilmelidir.</w:t>
      </w:r>
    </w:p>
    <w:p w:rsidR="00152D9D" w:rsidRPr="003D5488" w:rsidRDefault="00152D9D" w:rsidP="00724F6F">
      <w:pPr>
        <w:pStyle w:val="ListeParagraf"/>
        <w:keepNext/>
        <w:keepLines/>
        <w:numPr>
          <w:ilvl w:val="0"/>
          <w:numId w:val="20"/>
        </w:numPr>
        <w:spacing w:before="100" w:beforeAutospacing="1" w:after="240" w:line="240" w:lineRule="auto"/>
        <w:jc w:val="both"/>
        <w:outlineLvl w:val="2"/>
        <w:rPr>
          <w:rFonts w:ascii="Times New Roman" w:eastAsia="MS Gothic" w:hAnsi="Times New Roman" w:cs="Microsoft Himalaya"/>
          <w:b/>
          <w:bCs/>
          <w:noProof/>
          <w:sz w:val="24"/>
        </w:rPr>
      </w:pPr>
      <w:r w:rsidRPr="003D5488">
        <w:rPr>
          <w:rFonts w:ascii="Times New Roman" w:eastAsia="MS Gothic" w:hAnsi="Times New Roman" w:cs="Microsoft Himalaya"/>
          <w:b/>
          <w:bCs/>
          <w:noProof/>
          <w:sz w:val="24"/>
        </w:rPr>
        <w:t>Anayasa Mahkemesi’ne bireysel başvuru yapılmadığına dair ön itiraz</w:t>
      </w:r>
    </w:p>
    <w:p w:rsidR="00152D9D" w:rsidRPr="003D5488" w:rsidRDefault="00152D9D" w:rsidP="00152D9D">
      <w:pPr>
        <w:keepNext/>
        <w:keepLines/>
        <w:numPr>
          <w:ilvl w:val="3"/>
          <w:numId w:val="0"/>
        </w:numPr>
        <w:spacing w:before="100" w:beforeAutospacing="1" w:after="120" w:line="240" w:lineRule="auto"/>
        <w:ind w:left="680" w:hanging="340"/>
        <w:jc w:val="both"/>
        <w:outlineLvl w:val="3"/>
        <w:rPr>
          <w:rFonts w:ascii="Times New Roman" w:eastAsia="Times New Roman" w:hAnsi="Times New Roman" w:cs="Microsoft Himalaya"/>
          <w:bCs/>
          <w:i/>
          <w:iCs/>
          <w:noProof/>
          <w:sz w:val="24"/>
        </w:rPr>
      </w:pPr>
      <w:r w:rsidRPr="003D5488">
        <w:rPr>
          <w:rFonts w:ascii="Times New Roman" w:eastAsia="Times New Roman" w:hAnsi="Times New Roman" w:cs="Microsoft Himalaya"/>
          <w:bCs/>
          <w:i/>
          <w:iCs/>
          <w:noProof/>
          <w:sz w:val="24"/>
        </w:rPr>
        <w:t>Büyük Daire’nin Değerlendirmesi</w:t>
      </w:r>
    </w:p>
    <w:bookmarkStart w:id="28" w:name="failuretolodgeindividualappdebut"/>
    <w:p w:rsidR="00152D9D" w:rsidRPr="003D5488" w:rsidRDefault="00152D9D" w:rsidP="008273E0">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13</w:t>
      </w:r>
      <w:r w:rsidRPr="003D5488">
        <w:rPr>
          <w:rFonts w:ascii="Times New Roman" w:eastAsia="Times New Roman" w:hAnsi="Times New Roman" w:cs="Times New Roman"/>
          <w:noProof/>
          <w:sz w:val="24"/>
          <w:szCs w:val="24"/>
        </w:rPr>
        <w:fldChar w:fldCharType="end"/>
      </w:r>
      <w:bookmarkEnd w:id="28"/>
      <w:r w:rsidRPr="003D5488">
        <w:rPr>
          <w:rFonts w:ascii="Times New Roman" w:eastAsia="Times New Roman" w:hAnsi="Times New Roman" w:cs="Times New Roman"/>
          <w:noProof/>
          <w:sz w:val="24"/>
          <w:szCs w:val="24"/>
        </w:rPr>
        <w:t xml:space="preserve">.  Mahkeme, bir başvurucunun iç hukuk yollarını tüketme gerekliliğine uymasının, normalde başvurunun Mahkeme’ye sunulduğu tarihe göre </w:t>
      </w:r>
      <w:r w:rsidRPr="003D5488">
        <w:rPr>
          <w:rFonts w:ascii="Times New Roman" w:eastAsia="Times New Roman" w:hAnsi="Times New Roman" w:cs="Times New Roman"/>
          <w:noProof/>
          <w:sz w:val="24"/>
          <w:szCs w:val="24"/>
        </w:rPr>
        <w:lastRenderedPageBreak/>
        <w:t xml:space="preserve">değerlendirildiğini yinelemektedir. Bununla birlikte, Mahkeme’nin köklü içtihadı, belirli bir hukuk yolunun son aşamasının, başvuru yapıldıktan sonra ancak kabul edilebilirliği belirlenmeden önce tüketilmesine izin verdiğini göstermektedir. (bakınız yukarıda anılan </w:t>
      </w:r>
      <w:r w:rsidRPr="003D5488">
        <w:rPr>
          <w:rFonts w:ascii="Times New Roman" w:eastAsia="Times New Roman" w:hAnsi="Times New Roman" w:cs="Times New Roman"/>
          <w:i/>
          <w:iCs/>
          <w:noProof/>
          <w:sz w:val="24"/>
          <w:szCs w:val="24"/>
        </w:rPr>
        <w:t>Karoussiotis</w:t>
      </w:r>
      <w:r w:rsidRPr="003D5488">
        <w:rPr>
          <w:rFonts w:ascii="Times New Roman" w:eastAsia="Times New Roman" w:hAnsi="Times New Roman" w:cs="Times New Roman"/>
          <w:noProof/>
          <w:sz w:val="24"/>
          <w:szCs w:val="24"/>
        </w:rPr>
        <w:t xml:space="preserve">, § 57; </w:t>
      </w:r>
      <w:r w:rsidRPr="003D5488">
        <w:rPr>
          <w:rFonts w:ascii="Times New Roman" w:eastAsia="Times New Roman" w:hAnsi="Times New Roman" w:cs="Times New Roman"/>
          <w:i/>
          <w:iCs/>
          <w:noProof/>
          <w:sz w:val="24"/>
          <w:szCs w:val="24"/>
        </w:rPr>
        <w:t>Mehmet Hasan Altan v. Türkiye</w:t>
      </w:r>
      <w:r w:rsidRPr="003D5488">
        <w:rPr>
          <w:rFonts w:ascii="Times New Roman" w:eastAsia="Times New Roman" w:hAnsi="Times New Roman" w:cs="Times New Roman"/>
          <w:noProof/>
          <w:sz w:val="24"/>
          <w:szCs w:val="24"/>
        </w:rPr>
        <w:t xml:space="preserve">, no. 13237/17, § 107, 20 Mart 2018; </w:t>
      </w:r>
      <w:r w:rsidRPr="003D5488">
        <w:rPr>
          <w:rFonts w:ascii="Times New Roman" w:eastAsia="Times New Roman" w:hAnsi="Times New Roman" w:cs="Times New Roman"/>
          <w:i/>
          <w:iCs/>
          <w:noProof/>
          <w:sz w:val="24"/>
          <w:szCs w:val="24"/>
        </w:rPr>
        <w:t>Şahin Alpay v. Türkiye</w:t>
      </w:r>
      <w:r w:rsidRPr="003D5488">
        <w:rPr>
          <w:rFonts w:ascii="Times New Roman" w:eastAsia="Times New Roman" w:hAnsi="Times New Roman" w:cs="Times New Roman"/>
          <w:noProof/>
          <w:sz w:val="24"/>
          <w:szCs w:val="24"/>
        </w:rPr>
        <w:t xml:space="preserve">, no. 16538/17, § 86, 20 Mart 2018; </w:t>
      </w:r>
      <w:r w:rsidRPr="003D5488">
        <w:rPr>
          <w:rFonts w:ascii="Times New Roman" w:eastAsia="Times New Roman" w:hAnsi="Times New Roman" w:cs="Times New Roman"/>
          <w:i/>
          <w:iCs/>
          <w:noProof/>
          <w:sz w:val="24"/>
          <w:szCs w:val="24"/>
        </w:rPr>
        <w:t>Molla Sali v. Yunanistan</w:t>
      </w:r>
      <w:r w:rsidRPr="003D5488">
        <w:rPr>
          <w:rFonts w:ascii="Times New Roman" w:eastAsia="Times New Roman" w:hAnsi="Times New Roman" w:cs="Times New Roman"/>
          <w:noProof/>
          <w:sz w:val="24"/>
          <w:szCs w:val="24"/>
        </w:rPr>
        <w:t xml:space="preserve"> [BD], no. 20452/14, §§ 90-91, 19 Aralık 2018; ve A.M. v. Fransa, no. 12148/18, § 66, 29 Nisan 2019).</w:t>
      </w:r>
    </w:p>
    <w:bookmarkStart w:id="29" w:name="failuretolodgeindividualappfin"/>
    <w:p w:rsidR="00152D9D" w:rsidRPr="003D5488" w:rsidRDefault="00152D9D" w:rsidP="00152D9D">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14</w:t>
      </w:r>
      <w:r w:rsidRPr="003D5488">
        <w:rPr>
          <w:rFonts w:ascii="Times New Roman" w:eastAsia="Times New Roman" w:hAnsi="Times New Roman" w:cs="Times New Roman"/>
          <w:noProof/>
          <w:sz w:val="24"/>
          <w:szCs w:val="24"/>
        </w:rPr>
        <w:fldChar w:fldCharType="end"/>
      </w:r>
      <w:bookmarkEnd w:id="29"/>
      <w:r w:rsidRPr="003D5488">
        <w:rPr>
          <w:rFonts w:ascii="Times New Roman" w:eastAsia="Times New Roman" w:hAnsi="Times New Roman" w:cs="Times New Roman"/>
          <w:noProof/>
          <w:sz w:val="24"/>
          <w:szCs w:val="24"/>
        </w:rPr>
        <w:t>.  Mevcut davadaki başvurucu, başvurusunu 20 Şubat 2017 tarihinde Mahkeme’ye sunmuştur. Anayasa Mahkemesi</w:t>
      </w:r>
      <w:r w:rsidR="008B68C0">
        <w:rPr>
          <w:rFonts w:ascii="Times New Roman" w:eastAsia="Times New Roman" w:hAnsi="Times New Roman" w:cs="Times New Roman"/>
          <w:noProof/>
          <w:sz w:val="24"/>
          <w:szCs w:val="24"/>
        </w:rPr>
        <w:t>’</w:t>
      </w:r>
      <w:r w:rsidRPr="003D5488">
        <w:rPr>
          <w:rFonts w:ascii="Times New Roman" w:eastAsia="Times New Roman" w:hAnsi="Times New Roman" w:cs="Times New Roman"/>
          <w:noProof/>
          <w:sz w:val="24"/>
          <w:szCs w:val="24"/>
        </w:rPr>
        <w:t>ne 17 Kasım 2016 tarihinde yapmış olduğu bireysel başvuru, Mahkeme’nin kabul edilebilirlik kararından önce 21 Aralık 2017 tarihinde kabul edilemez bulunmuştur. Bu nedenle Hükümetin bu itirazı reddedilmelidir.</w:t>
      </w:r>
    </w:p>
    <w:p w:rsidR="00152D9D" w:rsidRPr="003D5488" w:rsidRDefault="00152D9D" w:rsidP="00724F6F">
      <w:pPr>
        <w:pStyle w:val="ListeParagraf"/>
        <w:keepNext/>
        <w:keepLines/>
        <w:numPr>
          <w:ilvl w:val="0"/>
          <w:numId w:val="20"/>
        </w:numPr>
        <w:spacing w:before="100" w:beforeAutospacing="1" w:after="240" w:line="240" w:lineRule="auto"/>
        <w:jc w:val="both"/>
        <w:outlineLvl w:val="2"/>
        <w:rPr>
          <w:rFonts w:ascii="Times New Roman" w:eastAsia="MS Gothic" w:hAnsi="Times New Roman" w:cs="Microsoft Himalaya"/>
          <w:b/>
          <w:bCs/>
          <w:noProof/>
          <w:sz w:val="24"/>
        </w:rPr>
      </w:pPr>
      <w:r w:rsidRPr="003D5488">
        <w:rPr>
          <w:rFonts w:ascii="Times New Roman" w:eastAsia="MS Gothic" w:hAnsi="Times New Roman" w:cs="Microsoft Himalaya"/>
          <w:b/>
          <w:bCs/>
          <w:noProof/>
          <w:sz w:val="24"/>
        </w:rPr>
        <w:t>İç hukuk yollarının tüketilmemesine ilişkin ön it</w:t>
      </w:r>
      <w:r w:rsidR="00BA3D28" w:rsidRPr="003D5488">
        <w:rPr>
          <w:rFonts w:ascii="Times New Roman" w:eastAsia="MS Gothic" w:hAnsi="Times New Roman" w:cs="Microsoft Himalaya"/>
          <w:b/>
          <w:bCs/>
          <w:noProof/>
          <w:sz w:val="24"/>
        </w:rPr>
        <w:t>iraz (Sözleşme'nin 5.</w:t>
      </w:r>
      <w:r w:rsidR="008B68C0">
        <w:rPr>
          <w:rFonts w:ascii="Times New Roman" w:eastAsia="MS Gothic" w:hAnsi="Times New Roman" w:cs="Microsoft Himalaya"/>
          <w:b/>
          <w:bCs/>
          <w:noProof/>
          <w:sz w:val="24"/>
        </w:rPr>
        <w:t xml:space="preserve"> </w:t>
      </w:r>
      <w:r w:rsidR="00BA3D28" w:rsidRPr="003D5488">
        <w:rPr>
          <w:rFonts w:ascii="Times New Roman" w:eastAsia="MS Gothic" w:hAnsi="Times New Roman" w:cs="Microsoft Himalaya"/>
          <w:b/>
          <w:bCs/>
          <w:noProof/>
          <w:sz w:val="24"/>
        </w:rPr>
        <w:t xml:space="preserve">maddesinin </w:t>
      </w:r>
      <w:r w:rsidRPr="003D5488">
        <w:rPr>
          <w:rFonts w:ascii="Times New Roman" w:eastAsia="MS Gothic" w:hAnsi="Times New Roman" w:cs="Microsoft Himalaya"/>
          <w:b/>
          <w:bCs/>
          <w:noProof/>
          <w:sz w:val="24"/>
        </w:rPr>
        <w:t>3.</w:t>
      </w:r>
      <w:r w:rsidR="008B68C0">
        <w:rPr>
          <w:rFonts w:ascii="Times New Roman" w:eastAsia="MS Gothic" w:hAnsi="Times New Roman" w:cs="Microsoft Himalaya"/>
          <w:b/>
          <w:bCs/>
          <w:noProof/>
          <w:sz w:val="24"/>
        </w:rPr>
        <w:t xml:space="preserve"> </w:t>
      </w:r>
      <w:r w:rsidRPr="003D5488">
        <w:rPr>
          <w:rFonts w:ascii="Times New Roman" w:eastAsia="MS Gothic" w:hAnsi="Times New Roman" w:cs="Microsoft Himalaya"/>
          <w:b/>
          <w:bCs/>
          <w:noProof/>
          <w:sz w:val="24"/>
        </w:rPr>
        <w:t xml:space="preserve">fıkrası ve 18. maddesi ve Sözleşme’ye Ek 1 Numaralı Protokol'ün 3. maddesi kapsamındaki </w:t>
      </w:r>
      <w:r w:rsidR="007E3DD1" w:rsidRPr="003D5488">
        <w:rPr>
          <w:rFonts w:ascii="Times New Roman" w:eastAsia="MS Gothic" w:hAnsi="Times New Roman" w:cs="Microsoft Himalaya"/>
          <w:b/>
          <w:bCs/>
          <w:noProof/>
          <w:sz w:val="24"/>
        </w:rPr>
        <w:t>şikâyet</w:t>
      </w:r>
      <w:r w:rsidRPr="003D5488">
        <w:rPr>
          <w:rFonts w:ascii="Times New Roman" w:eastAsia="MS Gothic" w:hAnsi="Times New Roman" w:cs="Microsoft Himalaya"/>
          <w:b/>
          <w:bCs/>
          <w:noProof/>
          <w:sz w:val="24"/>
        </w:rPr>
        <w:t>lerle ilgili olarak)</w:t>
      </w:r>
    </w:p>
    <w:p w:rsidR="00152D9D" w:rsidRPr="003D5488" w:rsidRDefault="00152D9D" w:rsidP="00152D9D">
      <w:pPr>
        <w:keepNext/>
        <w:keepLines/>
        <w:numPr>
          <w:ilvl w:val="3"/>
          <w:numId w:val="0"/>
        </w:numPr>
        <w:spacing w:before="100" w:beforeAutospacing="1" w:after="120" w:line="240" w:lineRule="auto"/>
        <w:ind w:left="680" w:hanging="340"/>
        <w:jc w:val="both"/>
        <w:outlineLvl w:val="3"/>
        <w:rPr>
          <w:rFonts w:ascii="Times New Roman" w:eastAsia="Times New Roman" w:hAnsi="Times New Roman" w:cs="Times New Roman"/>
          <w:bCs/>
          <w:i/>
          <w:iCs/>
          <w:noProof/>
          <w:sz w:val="24"/>
        </w:rPr>
      </w:pPr>
      <w:r w:rsidRPr="003D5488">
        <w:rPr>
          <w:rFonts w:ascii="Times New Roman" w:eastAsia="Times New Roman" w:hAnsi="Times New Roman" w:cs="Microsoft Himalaya"/>
          <w:bCs/>
          <w:i/>
          <w:iCs/>
          <w:noProof/>
          <w:sz w:val="24"/>
        </w:rPr>
        <w:t>Büyük Daire’nin Değerlendirmesi</w:t>
      </w:r>
    </w:p>
    <w:p w:rsidR="00152D9D" w:rsidRPr="003D5488" w:rsidRDefault="00152D9D" w:rsidP="008273E0">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15</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xml:space="preserve">.  Mahkeme, ilk olarak, Anayasa Mahkemesi’nin ilk kararından, başvurucunun ilk başvurusunda milletvekili ve bir siyasi partinin eş genel başkanı olarak yaptığı siyasi konuşmalar nedeniyle yakalanmış, gözaltına alınmış ve tutuklanmış olduğuna ilişkin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 xml:space="preserve">te bulunduğunun görülebileceğini kaydetmektedir. Ayrıca, milletvekili olarak statüsünü göz önünde bulundurarak, tutukluluğunun serbest seçim hakkının ihlali olduğunu savunmuştur(bakınız yukarıdaki 97. paragraf). Buna göre Mahkeme, başvurucunun Anayasa Mahkemesi’ne yaptığı ilk bireysel başvurusunda Sözleşme'nin 18. maddesi ve Sözleşme’ye Ek 1 Numaralı Protokol'ün 3. maddesi uyarınca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lerini dile getirdiği kanaatindedir.</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16</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w:t>
      </w:r>
      <w:r w:rsidRPr="003D5488">
        <w:rPr>
          <w:rFonts w:ascii="Times New Roman" w:eastAsia="Times New Roman" w:hAnsi="Times New Roman" w:cs="Microsoft Himalaya"/>
          <w:noProof/>
          <w:sz w:val="24"/>
          <w:szCs w:val="24"/>
        </w:rPr>
        <w:t>Bununla birlikte, Anayasa Mahkemesi, başvurucunun ilk başvurusunun, tutukluluğunu haklı çıkarmak için ilgili ve yeterli nedenlerin bulunmamasına ilişkin Sözleşme'nin 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3.</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 kapsamındaki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ini içer</w:t>
      </w:r>
      <w:r w:rsidR="008B68C0">
        <w:rPr>
          <w:rFonts w:ascii="Times New Roman" w:eastAsia="Times New Roman" w:hAnsi="Times New Roman" w:cs="Microsoft Himalaya"/>
          <w:noProof/>
          <w:sz w:val="24"/>
          <w:szCs w:val="24"/>
        </w:rPr>
        <w:t>mediğini belirtmiştir (bakınız M</w:t>
      </w:r>
      <w:r w:rsidRPr="003D5488">
        <w:rPr>
          <w:rFonts w:ascii="Times New Roman" w:eastAsia="Times New Roman" w:hAnsi="Times New Roman" w:cs="Microsoft Himalaya"/>
          <w:noProof/>
          <w:sz w:val="24"/>
          <w:szCs w:val="24"/>
        </w:rPr>
        <w:t>ahkeme</w:t>
      </w:r>
      <w:r w:rsidR="008B68C0">
        <w:rPr>
          <w:rFonts w:ascii="Times New Roman" w:eastAsia="Times New Roman" w:hAnsi="Times New Roman" w:cs="Microsoft Himalaya"/>
          <w:noProof/>
          <w:sz w:val="24"/>
          <w:szCs w:val="24"/>
        </w:rPr>
        <w:t>’</w:t>
      </w:r>
      <w:r w:rsidRPr="003D5488">
        <w:rPr>
          <w:rFonts w:ascii="Times New Roman" w:eastAsia="Times New Roman" w:hAnsi="Times New Roman" w:cs="Microsoft Himalaya"/>
          <w:noProof/>
          <w:sz w:val="24"/>
          <w:szCs w:val="24"/>
        </w:rPr>
        <w:t xml:space="preserve">nin kararı). Mahkeme, ilk olarak Adalet Bakanlığı’nın </w:t>
      </w:r>
      <w:r w:rsidR="008B68C0">
        <w:rPr>
          <w:rFonts w:ascii="Times New Roman" w:eastAsia="Times New Roman" w:hAnsi="Times New Roman" w:cs="Microsoft Himalaya"/>
          <w:noProof/>
          <w:sz w:val="24"/>
          <w:szCs w:val="24"/>
        </w:rPr>
        <w:t>görüşlerine</w:t>
      </w:r>
      <w:r w:rsidRPr="003D5488">
        <w:rPr>
          <w:rFonts w:ascii="Times New Roman" w:eastAsia="Times New Roman" w:hAnsi="Times New Roman" w:cs="Microsoft Himalaya"/>
          <w:noProof/>
          <w:sz w:val="24"/>
          <w:szCs w:val="24"/>
        </w:rPr>
        <w:t xml:space="preserve"> yanıt verirken bu nedenle bir ihlal iddiasında bulunduğunu kaydetmiştir. Buna göre, Anayasa Mahkemesi başvurucunun kendisine yeni bir bireysel başvuruda bulunabileceğine işaret ederek, başvurunun bu kısmını incelememe kararı almıştır. Ancak Mahkeme, dava dosyasında yer alan ilk başvurunun nüshasından, başvu</w:t>
      </w:r>
      <w:r w:rsidR="008B68C0">
        <w:rPr>
          <w:rFonts w:ascii="Times New Roman" w:eastAsia="Times New Roman" w:hAnsi="Times New Roman" w:cs="Microsoft Himalaya"/>
          <w:noProof/>
          <w:sz w:val="24"/>
          <w:szCs w:val="24"/>
        </w:rPr>
        <w:t>rucunun 21-30. p</w:t>
      </w:r>
      <w:r w:rsidRPr="003D5488">
        <w:rPr>
          <w:rFonts w:ascii="Times New Roman" w:eastAsia="Times New Roman" w:hAnsi="Times New Roman" w:cs="Microsoft Himalaya"/>
          <w:noProof/>
          <w:sz w:val="24"/>
          <w:szCs w:val="24"/>
        </w:rPr>
        <w:t>aragraflarda AİHS'</w:t>
      </w:r>
      <w:r w:rsidR="008B68C0">
        <w:rPr>
          <w:rFonts w:ascii="Times New Roman" w:eastAsia="Times New Roman" w:hAnsi="Times New Roman" w:cs="Microsoft Himalaya"/>
          <w:noProof/>
          <w:sz w:val="24"/>
          <w:szCs w:val="24"/>
        </w:rPr>
        <w:t>n</w:t>
      </w:r>
      <w:r w:rsidRPr="003D5488">
        <w:rPr>
          <w:rFonts w:ascii="Times New Roman" w:eastAsia="Times New Roman" w:hAnsi="Times New Roman" w:cs="Microsoft Himalaya"/>
          <w:noProof/>
          <w:sz w:val="24"/>
          <w:szCs w:val="24"/>
        </w:rPr>
        <w:t>in 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3.</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 uyarınca açıkça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te bulunduğunu gözlemlemektedir. İlgili bölümde, öncelikle Sözleşme</w:t>
      </w:r>
      <w:r w:rsidR="008B68C0">
        <w:rPr>
          <w:rFonts w:ascii="Times New Roman" w:eastAsia="Times New Roman" w:hAnsi="Times New Roman" w:cs="Microsoft Himalaya"/>
          <w:noProof/>
          <w:sz w:val="24"/>
          <w:szCs w:val="24"/>
        </w:rPr>
        <w:t>’</w:t>
      </w:r>
      <w:r w:rsidRPr="003D5488">
        <w:rPr>
          <w:rFonts w:ascii="Times New Roman" w:eastAsia="Times New Roman" w:hAnsi="Times New Roman" w:cs="Microsoft Himalaya"/>
          <w:noProof/>
          <w:sz w:val="24"/>
          <w:szCs w:val="24"/>
        </w:rPr>
        <w:t>nin 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3.</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fıkrasına atıfta bulunmuştur (paragraf 21). Daha sonra, özgürlüğünden yoksun bırakılan bir kişinin derhal bir </w:t>
      </w:r>
      <w:r w:rsidR="00DA1D16">
        <w:rPr>
          <w:rFonts w:ascii="Times New Roman" w:eastAsia="Times New Roman" w:hAnsi="Times New Roman" w:cs="Microsoft Himalaya"/>
          <w:noProof/>
          <w:sz w:val="24"/>
          <w:szCs w:val="24"/>
        </w:rPr>
        <w:t>hâkim</w:t>
      </w:r>
      <w:r w:rsidRPr="003D5488">
        <w:rPr>
          <w:rFonts w:ascii="Times New Roman" w:eastAsia="Times New Roman" w:hAnsi="Times New Roman" w:cs="Microsoft Himalaya"/>
          <w:noProof/>
          <w:sz w:val="24"/>
          <w:szCs w:val="24"/>
        </w:rPr>
        <w:t xml:space="preserve"> karşısına çıkarılması gerektiğini ve özgürlüğünden </w:t>
      </w:r>
      <w:r w:rsidRPr="003D5488">
        <w:rPr>
          <w:rFonts w:ascii="Times New Roman" w:eastAsia="Times New Roman" w:hAnsi="Times New Roman" w:cs="Microsoft Himalaya"/>
          <w:noProof/>
          <w:sz w:val="24"/>
          <w:szCs w:val="24"/>
        </w:rPr>
        <w:lastRenderedPageBreak/>
        <w:t xml:space="preserve">yoksun bırakılma süresinin makul bir süreyi aşmaması gerektiğini ileri sürülmüştür (22. paragraf). Ayrıca, olası cezanın ağırlığının, herhangi bir kaçma riskinin tesis edilmesine temel oluşturamayacağını ileri sürmüştür (28. paragraf). Ayrıca, tutukluluğa alternatif bir tedbir uygulanmadığından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 xml:space="preserve">çi olunmuştur (paragraf 29). Son olarak, tutukluluğu haklı çıkarmak için belirli bir neden belirtilmediğinden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 xml:space="preserve">çi olmuştur (paragraf 30). Bu koşullarda Mahkeme, başvurucunun ilk başvurusunun Sözleşme'nin 5.maddesinin 3.fıkrası ve Sözleşme'nin 18. maddesi ve Sözleşme’ye Ek 1 Numaralı Protokol'ün 3. maddesi kapsamındaki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 xml:space="preserve">lerini ortaya koyduğu kanaatindedir. Anayasa Mahkemesi’nin sonuçlarının aksine, müteakip gözlemleri, bu nedenle, ilk başvurusunda değinilen bir olguyla değil, tutukluluk bağlamındaki olgusal gelişmelerle ilgilidir (bakınız kıyasen, </w:t>
      </w:r>
      <w:r w:rsidRPr="003D5488">
        <w:rPr>
          <w:rFonts w:ascii="Times New Roman" w:eastAsia="Times New Roman" w:hAnsi="Times New Roman" w:cs="Microsoft Himalaya"/>
          <w:i/>
          <w:iCs/>
          <w:noProof/>
          <w:sz w:val="24"/>
          <w:szCs w:val="24"/>
        </w:rPr>
        <w:t>Ilgar Mammadov v. Azerbaycan</w:t>
      </w:r>
      <w:r w:rsidRPr="003D5488">
        <w:rPr>
          <w:rFonts w:ascii="Times New Roman" w:eastAsia="Times New Roman" w:hAnsi="Times New Roman" w:cs="Microsoft Himalaya"/>
          <w:noProof/>
          <w:sz w:val="24"/>
          <w:szCs w:val="24"/>
        </w:rPr>
        <w:t>, no. 15172/13, § 78, 22 Mayıs 2014).</w:t>
      </w:r>
    </w:p>
    <w:p w:rsidR="00152D9D" w:rsidRPr="003D5488" w:rsidRDefault="00152D9D" w:rsidP="008273E0">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17</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Ayrıca, Mahkeme İçtüzüğü</w:t>
      </w:r>
      <w:r w:rsidR="008B68C0">
        <w:rPr>
          <w:rFonts w:ascii="Times New Roman" w:eastAsia="Times New Roman" w:hAnsi="Times New Roman" w:cs="Times New Roman"/>
          <w:noProof/>
          <w:sz w:val="24"/>
          <w:szCs w:val="24"/>
        </w:rPr>
        <w:t>’</w:t>
      </w:r>
      <w:r w:rsidRPr="003D5488">
        <w:rPr>
          <w:rFonts w:ascii="Times New Roman" w:eastAsia="Times New Roman" w:hAnsi="Times New Roman" w:cs="Times New Roman"/>
          <w:noProof/>
          <w:sz w:val="24"/>
          <w:szCs w:val="24"/>
        </w:rPr>
        <w:t xml:space="preserve">nün 55. maddesi uyarınca, herhangi bir kabul edilemezlik iddiası, niteliği ve koşulların izin verdiği ölçüde, davalı Sözleşmeci Tarafça başvurunun kabul edilebilirliğine ilişkin yazılı veya sözlü gözlemlerinde ileri sürülmelidir (bakınız </w:t>
      </w:r>
      <w:r w:rsidRPr="003D5488">
        <w:rPr>
          <w:rFonts w:ascii="Times New Roman" w:eastAsia="Times New Roman" w:hAnsi="Times New Roman" w:cs="Times New Roman"/>
          <w:i/>
          <w:iCs/>
          <w:noProof/>
          <w:sz w:val="24"/>
          <w:szCs w:val="24"/>
        </w:rPr>
        <w:t>Navalnyy v. Rusya</w:t>
      </w:r>
      <w:r w:rsidRPr="003D5488">
        <w:rPr>
          <w:rFonts w:ascii="Times New Roman" w:eastAsia="Times New Roman" w:hAnsi="Times New Roman" w:cs="Times New Roman"/>
          <w:noProof/>
          <w:sz w:val="24"/>
          <w:szCs w:val="24"/>
        </w:rPr>
        <w:t xml:space="preserve"> [BD], no. 29580/12 ve diğer 4 karar, § 60, 15 Kasım 2018).</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18</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Mevcut davada Hükümet, Daire önündeki 24 Kasım 2017 tarihli görüşlerinde, başvurucunun Anayasa Mahkemesi’ne yaptığı bireysel başvurunun hala derdest olduğunu iddia ederek -yukarıda 193 ve 194. paragraflarda incelenen itiraz- iç hukuk yollarının tüketilmediğine ilişkin itirazda bulunmuştur. Ayrıca, Anayasa Mahkemesi kararından yaklaşık iki hafta sonra, 4 Ocak 2018 tarihinde, Hükümet, Anayasa Mahkemesi’nin başvurucu ve partisinden başka bir milletvekili Bay Ayhan Bilgen tarafından yapılan başvurulara ilişkin karar verdiğine işaret ettiği ek görüşlerini sunmuştur. Hükümet, söz konusu kararları özetledikten sonra, Mahkeme'nin, Bay Bilgen tarafından mağdur statüsünü kaybettiği için başvurusunu kabul edilemez olarak beyan etmesi gerektiğini belirtmiştir. Ancak, ek gözlemlerinde, başvurucuyla ilgili olarak herhangi bir iç hukuk yolunu tüketmeme itirazında bulunmamışlardır. Diğer bir deyişle Hükümet, Daire'nin başvurunun kabul edilebilirliğine ilişkin kararından önce görüşlerinde bu tür bir ön itirazda bulunmamıştır. Ancak, Hükümet'in, 20 Kasım 2018’de Anayasa Mahkemesi kararının üzerinden on bir aydan fazla bir süre sonra başvurunun kabul edilebilirliği ve esası hakkında karar veren Daire önünde, Sözleşme'nin 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3.</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fıkrası ve 18. maddesi ile Sözleşme’ye Ek 1 Numaralı Protokol'ün 3. maddesine ilişkin kabul edilemezlik iddiasını ileri sürmesini engelleyecek hiçbir şey yoktu. Mahkeme, bu nedenle, Hükümet</w:t>
      </w:r>
      <w:r w:rsidR="008B68C0">
        <w:rPr>
          <w:rFonts w:ascii="Times New Roman" w:eastAsia="Times New Roman" w:hAnsi="Times New Roman" w:cs="Microsoft Himalaya"/>
          <w:noProof/>
          <w:sz w:val="24"/>
          <w:szCs w:val="24"/>
        </w:rPr>
        <w:t>’</w:t>
      </w:r>
      <w:r w:rsidRPr="003D5488">
        <w:rPr>
          <w:rFonts w:ascii="Times New Roman" w:eastAsia="Times New Roman" w:hAnsi="Times New Roman" w:cs="Microsoft Himalaya"/>
          <w:noProof/>
          <w:sz w:val="24"/>
          <w:szCs w:val="24"/>
        </w:rPr>
        <w:t xml:space="preserve">in yargılamanın bu aşamasında bu itirazı dile getirmekten her halükarda men edildiğini düşünmektedir (bakınız </w:t>
      </w:r>
      <w:r w:rsidRPr="003D5488">
        <w:rPr>
          <w:rFonts w:ascii="Times New Roman" w:eastAsia="Times New Roman" w:hAnsi="Times New Roman" w:cs="Microsoft Himalaya"/>
          <w:i/>
          <w:iCs/>
          <w:noProof/>
          <w:sz w:val="24"/>
          <w:szCs w:val="24"/>
        </w:rPr>
        <w:t>Svinarenko ve Slyadnev v. Rusya</w:t>
      </w:r>
      <w:r w:rsidRPr="003D5488">
        <w:rPr>
          <w:rFonts w:ascii="Times New Roman" w:eastAsia="Times New Roman" w:hAnsi="Times New Roman" w:cs="Microsoft Himalaya"/>
          <w:noProof/>
          <w:sz w:val="24"/>
          <w:szCs w:val="24"/>
        </w:rPr>
        <w:t xml:space="preserve"> [BD], no. 32541/08 ve 43441/08, § 82, ECHR 2014 (alıntılar), § 82, ve </w:t>
      </w:r>
      <w:r w:rsidRPr="003D5488">
        <w:rPr>
          <w:rFonts w:ascii="Times New Roman" w:eastAsia="Times New Roman" w:hAnsi="Times New Roman" w:cs="Microsoft Himalaya"/>
          <w:i/>
          <w:iCs/>
          <w:noProof/>
          <w:sz w:val="24"/>
          <w:szCs w:val="24"/>
        </w:rPr>
        <w:t>Ramos Nunes de Carvalho e Sá v. Portekiz</w:t>
      </w:r>
      <w:r w:rsidRPr="003D5488">
        <w:rPr>
          <w:rFonts w:ascii="Times New Roman" w:eastAsia="Times New Roman" w:hAnsi="Times New Roman" w:cs="Microsoft Himalaya"/>
          <w:noProof/>
          <w:sz w:val="24"/>
          <w:szCs w:val="24"/>
        </w:rPr>
        <w:t xml:space="preserve"> [BD], no. 55391/13 ve diğer 2 karar, § 109, 6 Kasım 2018).</w:t>
      </w:r>
    </w:p>
    <w:p w:rsidR="00152D9D" w:rsidRPr="003D5488" w:rsidRDefault="00152D9D" w:rsidP="00152D9D">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lastRenderedPageBreak/>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19</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Buna göre Mahkeme, Hükümet'in bu itirazını reddetmektedir.</w:t>
      </w:r>
    </w:p>
    <w:p w:rsidR="00152D9D" w:rsidRPr="003D5488" w:rsidRDefault="00152D9D" w:rsidP="00724F6F">
      <w:pPr>
        <w:pStyle w:val="ListeParagraf"/>
        <w:keepNext/>
        <w:keepLines/>
        <w:numPr>
          <w:ilvl w:val="0"/>
          <w:numId w:val="20"/>
        </w:numPr>
        <w:spacing w:before="100" w:beforeAutospacing="1" w:after="240" w:line="240" w:lineRule="auto"/>
        <w:jc w:val="both"/>
        <w:outlineLvl w:val="2"/>
        <w:rPr>
          <w:rFonts w:ascii="Times New Roman" w:eastAsia="MS Gothic" w:hAnsi="Times New Roman" w:cs="Microsoft Himalaya"/>
          <w:b/>
          <w:bCs/>
          <w:noProof/>
          <w:sz w:val="24"/>
        </w:rPr>
      </w:pPr>
      <w:r w:rsidRPr="003D5488">
        <w:rPr>
          <w:rFonts w:ascii="Times New Roman" w:eastAsia="MS Gothic" w:hAnsi="Times New Roman" w:cs="Microsoft Himalaya"/>
          <w:b/>
          <w:bCs/>
          <w:noProof/>
          <w:sz w:val="24"/>
        </w:rPr>
        <w:t xml:space="preserve">Tazminat talebi için hukuki bir yola başvurulmamasına </w:t>
      </w:r>
      <w:r w:rsidR="008B68C0">
        <w:rPr>
          <w:rFonts w:ascii="Times New Roman" w:eastAsia="MS Gothic" w:hAnsi="Times New Roman" w:cs="Microsoft Himalaya"/>
          <w:b/>
          <w:bCs/>
          <w:noProof/>
          <w:sz w:val="24"/>
        </w:rPr>
        <w:t xml:space="preserve">ilişkin </w:t>
      </w:r>
      <w:r w:rsidRPr="003D5488">
        <w:rPr>
          <w:rFonts w:ascii="Times New Roman" w:eastAsia="MS Gothic" w:hAnsi="Times New Roman" w:cs="Microsoft Himalaya"/>
          <w:b/>
          <w:bCs/>
          <w:noProof/>
          <w:sz w:val="24"/>
        </w:rPr>
        <w:t>itiraz (Sözleşme'nin 5.</w:t>
      </w:r>
      <w:r w:rsidR="00DA1D16">
        <w:rPr>
          <w:rFonts w:ascii="Times New Roman" w:eastAsia="MS Gothic" w:hAnsi="Times New Roman" w:cs="Microsoft Himalaya"/>
          <w:b/>
          <w:bCs/>
          <w:noProof/>
          <w:sz w:val="24"/>
        </w:rPr>
        <w:t xml:space="preserve"> </w:t>
      </w:r>
      <w:r w:rsidRPr="003D5488">
        <w:rPr>
          <w:rFonts w:ascii="Times New Roman" w:eastAsia="MS Gothic" w:hAnsi="Times New Roman" w:cs="Microsoft Himalaya"/>
          <w:b/>
          <w:bCs/>
          <w:noProof/>
          <w:sz w:val="24"/>
        </w:rPr>
        <w:t>maddesinin 1</w:t>
      </w:r>
      <w:r w:rsidR="00DA1D16">
        <w:rPr>
          <w:rFonts w:ascii="Times New Roman" w:eastAsia="MS Gothic" w:hAnsi="Times New Roman" w:cs="Microsoft Himalaya"/>
          <w:b/>
          <w:bCs/>
          <w:noProof/>
          <w:sz w:val="24"/>
        </w:rPr>
        <w:t>.</w:t>
      </w:r>
      <w:r w:rsidR="008B68C0">
        <w:rPr>
          <w:rFonts w:ascii="Times New Roman" w:eastAsia="MS Gothic" w:hAnsi="Times New Roman" w:cs="Microsoft Himalaya"/>
          <w:b/>
          <w:bCs/>
          <w:noProof/>
          <w:sz w:val="24"/>
        </w:rPr>
        <w:t xml:space="preserve"> ve 3. f</w:t>
      </w:r>
      <w:r w:rsidRPr="003D5488">
        <w:rPr>
          <w:rFonts w:ascii="Times New Roman" w:eastAsia="MS Gothic" w:hAnsi="Times New Roman" w:cs="Microsoft Himalaya"/>
          <w:b/>
          <w:bCs/>
          <w:noProof/>
          <w:sz w:val="24"/>
        </w:rPr>
        <w:t xml:space="preserve">ıkrası kapsamındaki </w:t>
      </w:r>
      <w:r w:rsidR="007E3DD1" w:rsidRPr="003D5488">
        <w:rPr>
          <w:rFonts w:ascii="Times New Roman" w:eastAsia="MS Gothic" w:hAnsi="Times New Roman" w:cs="Microsoft Himalaya"/>
          <w:b/>
          <w:bCs/>
          <w:noProof/>
          <w:sz w:val="24"/>
        </w:rPr>
        <w:t>şikâyet</w:t>
      </w:r>
      <w:r w:rsidRPr="003D5488">
        <w:rPr>
          <w:rFonts w:ascii="Times New Roman" w:eastAsia="MS Gothic" w:hAnsi="Times New Roman" w:cs="Microsoft Himalaya"/>
          <w:b/>
          <w:bCs/>
          <w:noProof/>
          <w:sz w:val="24"/>
        </w:rPr>
        <w:t>lerle ilgili olarak)</w:t>
      </w:r>
    </w:p>
    <w:p w:rsidR="00152D9D" w:rsidRPr="003D5488" w:rsidRDefault="00152D9D" w:rsidP="00152D9D">
      <w:pPr>
        <w:keepNext/>
        <w:keepLines/>
        <w:numPr>
          <w:ilvl w:val="3"/>
          <w:numId w:val="0"/>
        </w:numPr>
        <w:spacing w:before="100" w:beforeAutospacing="1" w:after="120" w:line="240" w:lineRule="auto"/>
        <w:ind w:left="680" w:hanging="340"/>
        <w:jc w:val="both"/>
        <w:outlineLvl w:val="3"/>
        <w:rPr>
          <w:rFonts w:ascii="Times New Roman" w:eastAsia="Times New Roman" w:hAnsi="Times New Roman" w:cs="Microsoft Himalaya"/>
          <w:bCs/>
          <w:i/>
          <w:iCs/>
          <w:noProof/>
          <w:sz w:val="24"/>
        </w:rPr>
      </w:pPr>
      <w:r w:rsidRPr="003D5488">
        <w:rPr>
          <w:rFonts w:ascii="Times New Roman" w:eastAsia="MS Gothic" w:hAnsi="Times New Roman" w:cs="Microsoft Himalaya"/>
          <w:bCs/>
          <w:i/>
          <w:iCs/>
          <w:noProof/>
          <w:sz w:val="24"/>
        </w:rPr>
        <w:t>Büyük Daire’nin Değerlendirmesi</w:t>
      </w:r>
    </w:p>
    <w:p w:rsidR="00152D9D" w:rsidRPr="003D5488" w:rsidRDefault="00152D9D" w:rsidP="008273E0">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20</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Mahkeme, Sözleşme'nin 35.</w:t>
      </w:r>
      <w:r w:rsidR="008B68C0">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1.</w:t>
      </w:r>
      <w:r w:rsidR="008B68C0">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 xml:space="preserve">fıkrası uyarınca, bir başvuruyu ancak iddia edilen ihlallerle ilgili olan ve aynı zamanda mevcut ve yeterli olan iç hukuk yollarının tüketilmesinden sonra ele alabileceğini hatırlatmaktadır. Mahkeme, aynı zamanda, hukuk yolunun teorik olarak ve ilgili zamanda pratikte etkili bir yol olduğuna, yani erişilebilir olduğu ve tazminat sağlama kabiliyetine sahip olduğuna, başvurucunun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 xml:space="preserve">leriyle ilgili olarak ve makul başarı beklentileri sunduğuna ikna edilmek için Hükümetin görevini yeniden teyit etmektedir (özellikle bakınız </w:t>
      </w:r>
      <w:r w:rsidRPr="003D5488">
        <w:rPr>
          <w:rFonts w:ascii="Times New Roman" w:eastAsia="Times New Roman" w:hAnsi="Times New Roman" w:cs="Times New Roman"/>
          <w:i/>
          <w:iCs/>
          <w:noProof/>
          <w:sz w:val="24"/>
          <w:szCs w:val="24"/>
        </w:rPr>
        <w:t>Selmouni v. Fransa</w:t>
      </w:r>
      <w:r w:rsidRPr="003D5488">
        <w:rPr>
          <w:rFonts w:ascii="Times New Roman" w:eastAsia="Times New Roman" w:hAnsi="Times New Roman" w:cs="Times New Roman"/>
          <w:noProof/>
          <w:sz w:val="24"/>
          <w:szCs w:val="24"/>
        </w:rPr>
        <w:t xml:space="preserve"> [BD], no. 25803/94, § 76, ECHR 1999-V; </w:t>
      </w:r>
      <w:r w:rsidRPr="003D5488">
        <w:rPr>
          <w:rFonts w:ascii="Times New Roman" w:eastAsia="Times New Roman" w:hAnsi="Times New Roman" w:cs="Times New Roman"/>
          <w:i/>
          <w:iCs/>
          <w:noProof/>
          <w:sz w:val="24"/>
          <w:szCs w:val="24"/>
        </w:rPr>
        <w:t>Sejdovic v. İtalya</w:t>
      </w:r>
      <w:r w:rsidRPr="003D5488">
        <w:rPr>
          <w:rFonts w:ascii="Times New Roman" w:eastAsia="Times New Roman" w:hAnsi="Times New Roman" w:cs="Times New Roman"/>
          <w:noProof/>
          <w:sz w:val="24"/>
          <w:szCs w:val="24"/>
        </w:rPr>
        <w:t xml:space="preserve"> [BD], no. 56581/00, § 46, ECHR 2006-II; </w:t>
      </w:r>
      <w:r w:rsidRPr="003D5488">
        <w:rPr>
          <w:rFonts w:ascii="Times New Roman" w:eastAsia="Times New Roman" w:hAnsi="Times New Roman" w:cs="Times New Roman"/>
          <w:i/>
          <w:iCs/>
          <w:noProof/>
          <w:sz w:val="24"/>
          <w:szCs w:val="24"/>
        </w:rPr>
        <w:t>Vučković ve diğerleri v. Sırbistan</w:t>
      </w:r>
      <w:r w:rsidRPr="003D5488">
        <w:rPr>
          <w:rFonts w:ascii="Times New Roman" w:eastAsia="Times New Roman" w:hAnsi="Times New Roman" w:cs="Times New Roman"/>
          <w:noProof/>
          <w:sz w:val="24"/>
          <w:szCs w:val="24"/>
        </w:rPr>
        <w:t xml:space="preserve"> (ön itiraz) [BD], no. 17153/11 ve  diğer 29 karar, § 74, 25 Mart 2014; ve </w:t>
      </w:r>
      <w:r w:rsidRPr="003D5488">
        <w:rPr>
          <w:rFonts w:ascii="Times New Roman" w:eastAsia="Times New Roman" w:hAnsi="Times New Roman" w:cs="Times New Roman"/>
          <w:i/>
          <w:iCs/>
          <w:noProof/>
          <w:sz w:val="24"/>
          <w:szCs w:val="24"/>
        </w:rPr>
        <w:t>Gherghina v. Romanya</w:t>
      </w:r>
      <w:r w:rsidR="008B68C0">
        <w:rPr>
          <w:rFonts w:ascii="Times New Roman" w:eastAsia="Times New Roman" w:hAnsi="Times New Roman" w:cs="Times New Roman"/>
          <w:noProof/>
          <w:sz w:val="24"/>
          <w:szCs w:val="24"/>
        </w:rPr>
        <w:t xml:space="preserve"> (kek.</w:t>
      </w:r>
      <w:r w:rsidRPr="003D5488">
        <w:rPr>
          <w:rFonts w:ascii="Times New Roman" w:eastAsia="Times New Roman" w:hAnsi="Times New Roman" w:cs="Times New Roman"/>
          <w:noProof/>
          <w:sz w:val="24"/>
          <w:szCs w:val="24"/>
        </w:rPr>
        <w:t xml:space="preserve">), no. 42219/07, § 85, 9 Temmuz 2015). Bu ispat yükü yerine getirildikten sonra, Hükümet tarafından ileri sürülen hukuk yolunun, davanın özel koşullarında gerçekte kullanıldığını veya herhangi bir nedenle yetersiz ve etkisiz olduğunu veya kendisini bu gereklilikten muaf tutan özel koşulların mevcut olduğunu kanıtlamak başvurucuya düşer (bakınız </w:t>
      </w:r>
      <w:r w:rsidRPr="003D5488">
        <w:rPr>
          <w:rFonts w:ascii="Times New Roman" w:eastAsia="Times New Roman" w:hAnsi="Times New Roman" w:cs="Times New Roman"/>
          <w:i/>
          <w:iCs/>
          <w:noProof/>
          <w:sz w:val="24"/>
          <w:szCs w:val="24"/>
        </w:rPr>
        <w:t>Akdivar ve diğerleri v. Türkiye</w:t>
      </w:r>
      <w:r w:rsidRPr="003D5488">
        <w:rPr>
          <w:rFonts w:ascii="Times New Roman" w:eastAsia="Times New Roman" w:hAnsi="Times New Roman" w:cs="Times New Roman"/>
          <w:noProof/>
          <w:sz w:val="24"/>
          <w:szCs w:val="24"/>
        </w:rPr>
        <w:t xml:space="preserve">, 16 Eylül 1996, § 68, </w:t>
      </w:r>
      <w:r w:rsidRPr="003D5488">
        <w:rPr>
          <w:rFonts w:ascii="Times New Roman" w:eastAsia="Times New Roman" w:hAnsi="Times New Roman" w:cs="Times New Roman"/>
          <w:i/>
          <w:iCs/>
          <w:noProof/>
          <w:sz w:val="24"/>
          <w:szCs w:val="24"/>
        </w:rPr>
        <w:t xml:space="preserve">Reports of Judgments and Decisions </w:t>
      </w:r>
      <w:r w:rsidRPr="003D5488">
        <w:rPr>
          <w:rFonts w:ascii="Times New Roman" w:eastAsia="Times New Roman" w:hAnsi="Times New Roman" w:cs="Times New Roman"/>
          <w:noProof/>
          <w:sz w:val="24"/>
          <w:szCs w:val="24"/>
        </w:rPr>
        <w:t xml:space="preserve">1996-IV ve yukarıda anılan </w:t>
      </w:r>
      <w:r w:rsidRPr="003D5488">
        <w:rPr>
          <w:rFonts w:ascii="Times New Roman" w:eastAsia="Times New Roman" w:hAnsi="Times New Roman" w:cs="Times New Roman"/>
          <w:i/>
          <w:iCs/>
          <w:noProof/>
          <w:sz w:val="24"/>
          <w:szCs w:val="24"/>
        </w:rPr>
        <w:t>Molla Sali</w:t>
      </w:r>
      <w:r w:rsidRPr="003D5488">
        <w:rPr>
          <w:rFonts w:ascii="Times New Roman" w:eastAsia="Times New Roman" w:hAnsi="Times New Roman" w:cs="Times New Roman"/>
          <w:noProof/>
          <w:sz w:val="24"/>
          <w:szCs w:val="24"/>
        </w:rPr>
        <w:t>, § 89).</w:t>
      </w:r>
    </w:p>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21</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Bu bağlamda, belli bir hukuk yolunun başarı olasılığına ilişkin salt şüphelerin varlığı, açıkça nafile olmayan, iç hukuk yollarının tüketilmemesi için geçerli bir neden değildir. Ayrıca, şikâyet edilen durumu doğrudan ve sadece dolaylı olarak değil, doğrudan telafi edebilecek bir hukuk yolundan yararlanan bir başvurucunun, mevcut olabilecek ancak etkinliği sorgulanabilir olan diğer hukuk yollarına başvurması gerekli değildir (bakınız </w:t>
      </w:r>
      <w:r w:rsidRPr="003D5488">
        <w:rPr>
          <w:rFonts w:ascii="Times New Roman" w:eastAsia="Times New Roman" w:hAnsi="Times New Roman" w:cs="Microsoft Himalaya"/>
          <w:i/>
          <w:iCs/>
          <w:noProof/>
          <w:sz w:val="24"/>
          <w:szCs w:val="24"/>
        </w:rPr>
        <w:t>Vallianatos ve diğerleri v. Yunanistan</w:t>
      </w:r>
      <w:r w:rsidRPr="003D5488">
        <w:rPr>
          <w:rFonts w:ascii="Times New Roman" w:eastAsia="Times New Roman" w:hAnsi="Times New Roman" w:cs="Microsoft Himalaya"/>
          <w:noProof/>
          <w:sz w:val="24"/>
          <w:szCs w:val="24"/>
        </w:rPr>
        <w:t xml:space="preserve"> [BD], no. 29381/09 ve 32684/09, § 52, ECHR 2013 (extracts)).</w:t>
      </w:r>
    </w:p>
    <w:bookmarkStart w:id="30" w:name="perspectivedecessation"/>
    <w:p w:rsidR="00152D9D" w:rsidRPr="003D5488" w:rsidRDefault="00152D9D" w:rsidP="008273E0">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22</w:t>
      </w:r>
      <w:r w:rsidRPr="003D5488">
        <w:rPr>
          <w:rFonts w:ascii="Times New Roman" w:eastAsia="Times New Roman" w:hAnsi="Times New Roman" w:cs="Microsoft Himalaya"/>
          <w:noProof/>
          <w:sz w:val="24"/>
          <w:szCs w:val="24"/>
        </w:rPr>
        <w:fldChar w:fldCharType="end"/>
      </w:r>
      <w:bookmarkEnd w:id="30"/>
      <w:r w:rsidR="004B079C"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noProof/>
          <w:sz w:val="24"/>
          <w:szCs w:val="24"/>
        </w:rPr>
        <w:t>Devam eden bir özgürlükten yoksun bırakmanın hukuka uygunluğuna ilişkin bir çarenin etkili olabilmesi için, bir salıverilme olasılığı sunması gerekir (bakınız Mustafa Avcı, yukarıda anılan, § 60). Başka bir deyişle, serbest bırakılma olasılığı sağlamayan bir hukuk yolu, özgürlükten mahrum bırakma devam ederken, Sözleşme'nin 5. maddesi açısından etkili bir hukuk yolu olarak kabul edilemez. Mahkeme, önleyici ve telafi edici hukuk yollarının birbirini tamamlayıcı olması gereken içtihadını yeniden teyit etmektedir (bakınız kıyasen, Ulemek v. Hırvatistan, no. 21613/16, §§ 72-74, 31 Ekim 2019).</w:t>
      </w:r>
    </w:p>
    <w:p w:rsidR="00152D9D"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lastRenderedPageBreak/>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23</w:t>
      </w:r>
      <w:r w:rsidRPr="003D5488">
        <w:rPr>
          <w:rFonts w:ascii="Times New Roman" w:eastAsia="Times New Roman" w:hAnsi="Times New Roman" w:cs="Microsoft Himalaya"/>
          <w:noProof/>
          <w:sz w:val="24"/>
          <w:szCs w:val="24"/>
        </w:rPr>
        <w:fldChar w:fldCharType="end"/>
      </w:r>
      <w:r w:rsidR="004B079C"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noProof/>
          <w:sz w:val="24"/>
          <w:szCs w:val="24"/>
        </w:rPr>
        <w:t xml:space="preserve">Bununla birlikte, özgürlükten yoksun bırakmanın sona erdiği durumlarda durum farklı olabilir (bakınız Cüneyt Polat v. Türkiye, no. 32211/07, § 49, 13 Kasım 2014 ve yukarıda anılan Paşa Bayraktar ve Aydınkaya, § 28). Özgürlükten yoksun bırakmaya ilişkin olarak, Mahkeme zaten bu tür birçok davada karar verme fırsatı bulmuştur (bakınız diğer kararlar arasında, Kolevi v. Bulgaristan (dec.) no. 1108/02, 4 Aralık 2007; </w:t>
      </w:r>
      <w:r w:rsidRPr="003D5488">
        <w:rPr>
          <w:rFonts w:ascii="Times New Roman" w:eastAsia="Times New Roman" w:hAnsi="Times New Roman" w:cs="Microsoft Himalaya"/>
          <w:i/>
          <w:iCs/>
          <w:noProof/>
          <w:sz w:val="24"/>
          <w:szCs w:val="24"/>
        </w:rPr>
        <w:t>Rahmani ve Dineva v. Bulgaristan</w:t>
      </w:r>
      <w:r w:rsidRPr="003D5488">
        <w:rPr>
          <w:rFonts w:ascii="Times New Roman" w:eastAsia="Times New Roman" w:hAnsi="Times New Roman" w:cs="Microsoft Himalaya"/>
          <w:noProof/>
          <w:sz w:val="24"/>
          <w:szCs w:val="24"/>
        </w:rPr>
        <w:t xml:space="preserve">, no. 20116/08, § 66, 10 Mayıs 2012; </w:t>
      </w:r>
      <w:r w:rsidRPr="003D5488">
        <w:rPr>
          <w:rFonts w:ascii="Times New Roman" w:eastAsia="Times New Roman" w:hAnsi="Times New Roman" w:cs="Microsoft Himalaya"/>
          <w:i/>
          <w:iCs/>
          <w:noProof/>
          <w:sz w:val="24"/>
          <w:szCs w:val="24"/>
        </w:rPr>
        <w:t>Gavril Yosifov v. Bulgaristan</w:t>
      </w:r>
      <w:r w:rsidRPr="003D5488">
        <w:rPr>
          <w:rFonts w:ascii="Times New Roman" w:eastAsia="Times New Roman" w:hAnsi="Times New Roman" w:cs="Microsoft Himalaya"/>
          <w:noProof/>
          <w:sz w:val="24"/>
          <w:szCs w:val="24"/>
        </w:rPr>
        <w:t xml:space="preserve">, no. 74012/01, § 41, 6 Kasım 2008; ve </w:t>
      </w:r>
      <w:r w:rsidRPr="003D5488">
        <w:rPr>
          <w:rFonts w:ascii="Times New Roman" w:eastAsia="Times New Roman" w:hAnsi="Times New Roman" w:cs="Microsoft Himalaya"/>
          <w:i/>
          <w:iCs/>
          <w:noProof/>
          <w:sz w:val="24"/>
          <w:szCs w:val="24"/>
        </w:rPr>
        <w:t>Dolenec v. Hırvatistan</w:t>
      </w:r>
      <w:r w:rsidRPr="003D5488">
        <w:rPr>
          <w:rFonts w:ascii="Times New Roman" w:eastAsia="Times New Roman" w:hAnsi="Times New Roman" w:cs="Microsoft Himalaya"/>
          <w:noProof/>
          <w:sz w:val="24"/>
          <w:szCs w:val="24"/>
        </w:rPr>
        <w:t xml:space="preserve">, no. 25282/06, § 184, 26 Kasım 2009). Mahkemenin bu alandaki içtihadı şunu göstermektedir: başvurucunun iç hukuka aykırı bir şekilde tutuklandığından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 xml:space="preserve"> ettiği ve tutukluluğun sona erdiği durumlarda, iddia edilen ihlalin kabul edilmesine ve tazminata hükmedilmesine yol açabilecek bir tazminat talebi, prensipte, uygulamadaki etkinliği ikna edici bir şekilde ispatlanmışsa, izlenmesi gereken etkili bir hukuk yoludur.</w:t>
      </w:r>
    </w:p>
    <w:p w:rsidR="00152D9D"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24</w:t>
      </w:r>
      <w:r w:rsidRPr="003D5488">
        <w:rPr>
          <w:rFonts w:ascii="Times New Roman" w:eastAsia="Times New Roman" w:hAnsi="Times New Roman" w:cs="Microsoft Himalaya"/>
          <w:noProof/>
          <w:sz w:val="24"/>
          <w:szCs w:val="24"/>
        </w:rPr>
        <w:fldChar w:fldCharType="end"/>
      </w:r>
      <w:r w:rsidR="004B079C"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noProof/>
          <w:sz w:val="24"/>
          <w:szCs w:val="24"/>
        </w:rPr>
        <w:t xml:space="preserve">Bu bağlamda, yukarıda belirtilen davalarda Mahkeme, bir özgürlükten yoksun bırakmanın hukuka aykırılığının veya usulsüzlüğünün yerel düzeyde kabul edilip edilmediğine dair dikkatli bir inceleme yapmıştır. Örneğin </w:t>
      </w:r>
      <w:r w:rsidRPr="003D5488">
        <w:rPr>
          <w:rFonts w:ascii="Times New Roman" w:eastAsia="Times New Roman" w:hAnsi="Times New Roman" w:cs="Microsoft Himalaya"/>
          <w:i/>
          <w:iCs/>
          <w:noProof/>
          <w:sz w:val="24"/>
          <w:szCs w:val="24"/>
        </w:rPr>
        <w:t>Rahmani ve Dineva</w:t>
      </w:r>
      <w:r w:rsidRPr="003D5488">
        <w:rPr>
          <w:rFonts w:ascii="Times New Roman" w:eastAsia="Times New Roman" w:hAnsi="Times New Roman" w:cs="Microsoft Himalaya"/>
          <w:noProof/>
          <w:sz w:val="24"/>
          <w:szCs w:val="24"/>
        </w:rPr>
        <w:t xml:space="preserve"> davasında (yukarıda anılan, § 68) yerel mahkemeler, başvurucunun tutukluluğunun hem iç hukuku hem de Sözleşme'nin 5.</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1.</w:t>
      </w:r>
      <w:r w:rsidR="008B68C0">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 xml:space="preserve">fıkrasının f bendini ihlal ettiğini açıkça kabul etmişlerdir. </w:t>
      </w:r>
      <w:r w:rsidRPr="003D5488">
        <w:rPr>
          <w:rFonts w:ascii="Times New Roman" w:eastAsia="Times New Roman" w:hAnsi="Times New Roman" w:cs="Microsoft Himalaya"/>
          <w:i/>
          <w:iCs/>
          <w:noProof/>
          <w:sz w:val="24"/>
          <w:szCs w:val="24"/>
        </w:rPr>
        <w:t>Kolevi</w:t>
      </w:r>
      <w:r w:rsidRPr="003D5488">
        <w:rPr>
          <w:rFonts w:ascii="Times New Roman" w:eastAsia="Times New Roman" w:hAnsi="Times New Roman" w:cs="Microsoft Himalaya"/>
          <w:noProof/>
          <w:sz w:val="24"/>
          <w:szCs w:val="24"/>
        </w:rPr>
        <w:t xml:space="preserve"> davasında (yukarıda anılan), bir yü</w:t>
      </w:r>
      <w:r w:rsidR="008B68C0">
        <w:rPr>
          <w:rFonts w:ascii="Times New Roman" w:eastAsia="Times New Roman" w:hAnsi="Times New Roman" w:cs="Microsoft Himalaya"/>
          <w:noProof/>
          <w:sz w:val="24"/>
          <w:szCs w:val="24"/>
        </w:rPr>
        <w:t>ksek mahkeme tarafından, başvur</w:t>
      </w:r>
      <w:r w:rsidRPr="003D5488">
        <w:rPr>
          <w:rFonts w:ascii="Times New Roman" w:eastAsia="Times New Roman" w:hAnsi="Times New Roman" w:cs="Microsoft Himalaya"/>
          <w:noProof/>
          <w:sz w:val="24"/>
          <w:szCs w:val="24"/>
        </w:rPr>
        <w:t xml:space="preserve">ucunun tutukluluğunun başından beri hukuka aykırı olduğu tespit edilmiştir. </w:t>
      </w:r>
      <w:r w:rsidRPr="003D5488">
        <w:rPr>
          <w:rFonts w:ascii="Times New Roman" w:eastAsia="Times New Roman" w:hAnsi="Times New Roman" w:cs="Microsoft Himalaya"/>
          <w:i/>
          <w:iCs/>
          <w:noProof/>
          <w:sz w:val="24"/>
          <w:szCs w:val="24"/>
        </w:rPr>
        <w:t>Gavril Yosifov</w:t>
      </w:r>
      <w:r w:rsidRPr="003D5488">
        <w:rPr>
          <w:rFonts w:ascii="Times New Roman" w:eastAsia="Times New Roman" w:hAnsi="Times New Roman" w:cs="Microsoft Himalaya"/>
          <w:noProof/>
          <w:sz w:val="24"/>
          <w:szCs w:val="24"/>
        </w:rPr>
        <w:t xml:space="preserve"> davasında (yukarıda anılan, § 43) Mahkeme, başvurucunun kısmen beraat ettiği ve tazminat talebinde bulunma fırsatı yaratıldığı gerçeğini dikkate almıştır. </w:t>
      </w:r>
      <w:r w:rsidRPr="003D5488">
        <w:rPr>
          <w:rFonts w:ascii="Times New Roman" w:eastAsia="Times New Roman" w:hAnsi="Times New Roman" w:cs="Microsoft Himalaya"/>
          <w:i/>
          <w:iCs/>
          <w:noProof/>
          <w:sz w:val="24"/>
          <w:szCs w:val="24"/>
        </w:rPr>
        <w:t>Dolenec</w:t>
      </w:r>
      <w:r w:rsidRPr="003D5488">
        <w:rPr>
          <w:rFonts w:ascii="Times New Roman" w:eastAsia="Times New Roman" w:hAnsi="Times New Roman" w:cs="Microsoft Himalaya"/>
          <w:noProof/>
          <w:sz w:val="24"/>
          <w:szCs w:val="24"/>
        </w:rPr>
        <w:t xml:space="preserve"> davasında (yukarıda anılan, § 185) bir yerel mahkeme, başvurucunun tutukluluğunun yasal süresinin çoktan dolduğunu ve bu sürenin ötesinde tutukluluğunun iç hukuka aykırı olduğunu açıkça kabul etmiştir.</w:t>
      </w:r>
    </w:p>
    <w:p w:rsidR="00152D9D"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25</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Bununla birlikte, mevcut davada, başvurucunun tutukluluğunun hukuka uygunluğuna ilişkin </w:t>
      </w:r>
      <w:r w:rsidR="007E3DD1" w:rsidRPr="003D5488">
        <w:rPr>
          <w:rFonts w:ascii="Times New Roman" w:eastAsia="Times New Roman" w:hAnsi="Times New Roman" w:cs="Microsoft Himalaya"/>
          <w:noProof/>
          <w:sz w:val="24"/>
          <w:szCs w:val="24"/>
        </w:rPr>
        <w:t>şikâyet</w:t>
      </w:r>
      <w:r w:rsidRPr="003D5488">
        <w:rPr>
          <w:rFonts w:ascii="Times New Roman" w:eastAsia="Times New Roman" w:hAnsi="Times New Roman" w:cs="Microsoft Himalaya"/>
          <w:noProof/>
          <w:sz w:val="24"/>
          <w:szCs w:val="24"/>
        </w:rPr>
        <w:t xml:space="preserve">leri başlangıçta ilk derece mahkemelerinde yani Diyarbakır sulh mahkemeleri, Diyarbakır Ağır Ceza Mahkemesi ve Ankara Ağır Ceza Mahkemesi ve daha sonra Anayasa Mahkemesi önünde dile getirilmiştir. Bu organların hiçbiri açıkça veya zımnen, tutukluluğunun haksız veya hukuka aykırı olduğunu kabul etmemiştir. Tahliye talepleri defalarca reddedilmiştir. Buna göre, başvurucunun tutukluluğunun Anayasa ile uyumlu olduğuna karar veren ulusal mahkemeler tarafından, özellikle Anayasa Mahkemesi tarafından verilen kararlar ışığında, Mahkeme, </w:t>
      </w:r>
      <w:r w:rsidR="00777263">
        <w:rPr>
          <w:rFonts w:ascii="Times New Roman" w:eastAsia="Times New Roman" w:hAnsi="Times New Roman" w:cs="Microsoft Himalaya"/>
          <w:noProof/>
          <w:sz w:val="24"/>
          <w:szCs w:val="24"/>
        </w:rPr>
        <w:t>Ceza Muhakemesi Kanunu’nun</w:t>
      </w:r>
      <w:r w:rsidRPr="003D5488">
        <w:rPr>
          <w:rFonts w:ascii="Times New Roman" w:eastAsia="Times New Roman" w:hAnsi="Times New Roman" w:cs="Microsoft Himalaya"/>
          <w:noProof/>
          <w:sz w:val="24"/>
          <w:szCs w:val="24"/>
        </w:rPr>
        <w:t xml:space="preserve"> 141.</w:t>
      </w:r>
      <w:r w:rsidR="00777263">
        <w:rPr>
          <w:rFonts w:ascii="Times New Roman" w:eastAsia="Times New Roman" w:hAnsi="Times New Roman" w:cs="Microsoft Himalaya"/>
          <w:noProof/>
          <w:sz w:val="24"/>
          <w:szCs w:val="24"/>
        </w:rPr>
        <w:t xml:space="preserve"> </w:t>
      </w:r>
      <w:r w:rsidRPr="003D5488">
        <w:rPr>
          <w:rFonts w:ascii="Times New Roman" w:eastAsia="Times New Roman" w:hAnsi="Times New Roman" w:cs="Microsoft Himalaya"/>
          <w:noProof/>
          <w:sz w:val="24"/>
          <w:szCs w:val="24"/>
        </w:rPr>
        <w:t>maddesinin 1.</w:t>
      </w:r>
      <w:r w:rsidR="00777263">
        <w:rPr>
          <w:rFonts w:ascii="Times New Roman" w:eastAsia="Times New Roman" w:hAnsi="Times New Roman" w:cs="Microsoft Himalaya"/>
          <w:noProof/>
          <w:sz w:val="24"/>
          <w:szCs w:val="24"/>
        </w:rPr>
        <w:t xml:space="preserve"> </w:t>
      </w:r>
      <w:bookmarkStart w:id="31" w:name="_GoBack"/>
      <w:bookmarkEnd w:id="31"/>
      <w:r w:rsidRPr="003D5488">
        <w:rPr>
          <w:rFonts w:ascii="Times New Roman" w:eastAsia="Times New Roman" w:hAnsi="Times New Roman" w:cs="Microsoft Himalaya"/>
          <w:noProof/>
          <w:sz w:val="24"/>
          <w:szCs w:val="24"/>
        </w:rPr>
        <w:t xml:space="preserve">fıkrasının a bendi uyarınca bir tazminat talebinin başarısızlıkla sonuçlanacağı kanaatindedir (benzer sonuç için bakınız yukarıda anılan </w:t>
      </w:r>
      <w:r w:rsidRPr="003D5488">
        <w:rPr>
          <w:rFonts w:ascii="Times New Roman" w:eastAsia="Times New Roman" w:hAnsi="Times New Roman" w:cs="Microsoft Himalaya"/>
          <w:i/>
          <w:iCs/>
          <w:noProof/>
          <w:sz w:val="24"/>
          <w:szCs w:val="24"/>
        </w:rPr>
        <w:t>Lütfiye Zengin ve diğerleri</w:t>
      </w:r>
      <w:r w:rsidRPr="003D5488">
        <w:rPr>
          <w:rFonts w:ascii="Times New Roman" w:eastAsia="Times New Roman" w:hAnsi="Times New Roman" w:cs="Microsoft Himalaya"/>
          <w:noProof/>
          <w:sz w:val="24"/>
          <w:szCs w:val="24"/>
        </w:rPr>
        <w:t>, § 65).</w:t>
      </w:r>
    </w:p>
    <w:p w:rsidR="00152D9D" w:rsidRPr="003D5488" w:rsidRDefault="00152D9D" w:rsidP="004B079C">
      <w:pPr>
        <w:spacing w:after="0" w:line="240" w:lineRule="auto"/>
        <w:ind w:firstLine="284"/>
        <w:jc w:val="both"/>
        <w:rPr>
          <w:rFonts w:ascii="Times New Roman" w:eastAsia="Times New Roman" w:hAnsi="Times New Roman" w:cs="Microsoft Himalaya"/>
          <w:noProof/>
          <w:snapToGrid w:val="0"/>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26</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noProof/>
          <w:snapToGrid w:val="0"/>
          <w:sz w:val="24"/>
          <w:szCs w:val="24"/>
        </w:rPr>
        <w:t xml:space="preserve">Hükümet, </w:t>
      </w:r>
      <w:r w:rsidRPr="003D5488">
        <w:rPr>
          <w:rFonts w:ascii="Times New Roman" w:eastAsia="Times New Roman" w:hAnsi="Times New Roman" w:cs="Microsoft Himalaya"/>
          <w:i/>
          <w:iCs/>
          <w:noProof/>
          <w:snapToGrid w:val="0"/>
          <w:sz w:val="24"/>
          <w:szCs w:val="24"/>
        </w:rPr>
        <w:t>Paşa Bayraktar ve Aydınkaya</w:t>
      </w:r>
      <w:r w:rsidR="00A15AE8">
        <w:rPr>
          <w:rFonts w:ascii="Times New Roman" w:eastAsia="Times New Roman" w:hAnsi="Times New Roman" w:cs="Microsoft Himalaya"/>
          <w:i/>
          <w:iCs/>
          <w:noProof/>
          <w:snapToGrid w:val="0"/>
          <w:sz w:val="24"/>
          <w:szCs w:val="24"/>
        </w:rPr>
        <w:t xml:space="preserve"> </w:t>
      </w:r>
      <w:r w:rsidRPr="003D5488">
        <w:rPr>
          <w:rFonts w:ascii="Times New Roman" w:eastAsia="Times New Roman" w:hAnsi="Times New Roman" w:cs="Microsoft Himalaya"/>
          <w:i/>
          <w:iCs/>
          <w:noProof/>
          <w:snapToGrid w:val="0"/>
          <w:sz w:val="24"/>
          <w:szCs w:val="24"/>
        </w:rPr>
        <w:t>(yukarıda anılan)</w:t>
      </w:r>
      <w:r w:rsidRPr="003D5488">
        <w:rPr>
          <w:rFonts w:ascii="Times New Roman" w:eastAsia="Times New Roman" w:hAnsi="Times New Roman" w:cs="Microsoft Himalaya"/>
          <w:noProof/>
          <w:snapToGrid w:val="0"/>
          <w:sz w:val="24"/>
          <w:szCs w:val="24"/>
        </w:rPr>
        <w:t xml:space="preserve"> kararına atıfta bulunmakla beraber, bu davada başvurucular, yasal azami sürenin </w:t>
      </w:r>
      <w:r w:rsidRPr="003D5488">
        <w:rPr>
          <w:rFonts w:ascii="Times New Roman" w:eastAsia="Times New Roman" w:hAnsi="Times New Roman" w:cs="Microsoft Himalaya"/>
          <w:noProof/>
          <w:snapToGrid w:val="0"/>
          <w:sz w:val="24"/>
          <w:szCs w:val="24"/>
        </w:rPr>
        <w:lastRenderedPageBreak/>
        <w:t xml:space="preserve">ötesinde polis nezaretinde tutulduklarını ve halkim önüne "derhal" çıkarılmadıklarını iddia etmişlerdir. Bu davanın özel koşullarında, Mahkeme, başvurucuların Yasal gözaltı süresi içinde hâkim önüne çıkarılmamış olanların uğradığı zarar için tazminat talep etmesine </w:t>
      </w:r>
      <w:r w:rsidR="00DA1D16">
        <w:rPr>
          <w:rFonts w:ascii="Times New Roman" w:eastAsia="Times New Roman" w:hAnsi="Times New Roman" w:cs="Microsoft Himalaya"/>
          <w:noProof/>
          <w:snapToGrid w:val="0"/>
          <w:sz w:val="24"/>
          <w:szCs w:val="24"/>
        </w:rPr>
        <w:t>imkân</w:t>
      </w:r>
      <w:r w:rsidRPr="003D5488">
        <w:rPr>
          <w:rFonts w:ascii="Times New Roman" w:eastAsia="Times New Roman" w:hAnsi="Times New Roman" w:cs="Microsoft Himalaya"/>
          <w:noProof/>
          <w:snapToGrid w:val="0"/>
          <w:sz w:val="24"/>
          <w:szCs w:val="24"/>
        </w:rPr>
        <w:t xml:space="preserve"> sağlayan </w:t>
      </w:r>
      <w:r w:rsidR="00A15AE8">
        <w:rPr>
          <w:rFonts w:ascii="Times New Roman" w:eastAsia="Times New Roman" w:hAnsi="Times New Roman" w:cs="Microsoft Himalaya"/>
          <w:noProof/>
          <w:snapToGrid w:val="0"/>
          <w:sz w:val="24"/>
          <w:szCs w:val="24"/>
        </w:rPr>
        <w:t>Ceza Muhakemesi Kanunu’nun</w:t>
      </w:r>
      <w:r w:rsidRPr="003D5488">
        <w:rPr>
          <w:rFonts w:ascii="Times New Roman" w:eastAsia="Times New Roman" w:hAnsi="Times New Roman" w:cs="Microsoft Himalaya"/>
          <w:noProof/>
          <w:snapToGrid w:val="0"/>
          <w:sz w:val="24"/>
          <w:szCs w:val="24"/>
        </w:rPr>
        <w:t xml:space="preserve"> 141.</w:t>
      </w:r>
      <w:r w:rsidR="00A15AE8">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maddesinin 1.</w:t>
      </w:r>
      <w:r w:rsidR="00A15AE8">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 xml:space="preserve">fıkrasının b bendi uyarınca yerel mahkemelere başvurmaları gerektiğine karar vermiştir Ancak, mevcut başvuruda böyle bir </w:t>
      </w:r>
      <w:r w:rsidR="007E3DD1" w:rsidRPr="003D5488">
        <w:rPr>
          <w:rFonts w:ascii="Times New Roman" w:eastAsia="Times New Roman" w:hAnsi="Times New Roman" w:cs="Microsoft Himalaya"/>
          <w:noProof/>
          <w:snapToGrid w:val="0"/>
          <w:sz w:val="24"/>
          <w:szCs w:val="24"/>
        </w:rPr>
        <w:t>şikâyet</w:t>
      </w:r>
      <w:r w:rsidRPr="003D5488">
        <w:rPr>
          <w:rFonts w:ascii="Times New Roman" w:eastAsia="Times New Roman" w:hAnsi="Times New Roman" w:cs="Microsoft Himalaya"/>
          <w:noProof/>
          <w:snapToGrid w:val="0"/>
          <w:sz w:val="24"/>
          <w:szCs w:val="24"/>
        </w:rPr>
        <w:t>te bulunulmamıştır.</w:t>
      </w:r>
    </w:p>
    <w:p w:rsidR="00152D9D" w:rsidRPr="003D5488" w:rsidRDefault="00152D9D" w:rsidP="004B079C">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27</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w:t>
      </w:r>
      <w:r w:rsidR="00A15AE8">
        <w:rPr>
          <w:rFonts w:ascii="Times New Roman" w:eastAsia="Times New Roman" w:hAnsi="Times New Roman" w:cs="Times New Roman"/>
          <w:noProof/>
          <w:sz w:val="24"/>
          <w:szCs w:val="24"/>
        </w:rPr>
        <w:t>Ceza Muhakemesi Kanunu’nun</w:t>
      </w:r>
      <w:r w:rsidRPr="003D5488">
        <w:rPr>
          <w:rFonts w:ascii="Times New Roman" w:eastAsia="Times New Roman" w:hAnsi="Times New Roman" w:cs="Times New Roman"/>
          <w:noProof/>
          <w:sz w:val="24"/>
          <w:szCs w:val="24"/>
        </w:rPr>
        <w:t xml:space="preserve"> 141.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 xml:space="preserve">fıkrasının d bendinde öngörülen hukuk yolu ile ilgili olarak, Mahkeme, bu konudaki ilk öncü kararı olan </w:t>
      </w:r>
      <w:r w:rsidRPr="003D5488">
        <w:rPr>
          <w:rFonts w:ascii="Times New Roman" w:eastAsia="Times New Roman" w:hAnsi="Times New Roman" w:cs="Times New Roman"/>
          <w:i/>
          <w:iCs/>
          <w:noProof/>
          <w:sz w:val="24"/>
          <w:szCs w:val="24"/>
        </w:rPr>
        <w:t>Demir</w:t>
      </w:r>
      <w:r w:rsidRPr="003D5488">
        <w:rPr>
          <w:rFonts w:ascii="Times New Roman" w:eastAsia="Times New Roman" w:hAnsi="Times New Roman" w:cs="Times New Roman"/>
          <w:noProof/>
          <w:sz w:val="24"/>
          <w:szCs w:val="24"/>
        </w:rPr>
        <w:t xml:space="preserve"> kararının(yukarıda anılan), yaklaşık yedi yıl olmak üzere, yalnızca tutukluluk süresiyle ilgili olduğunu kaydetmektedir. Bu davada, başvurucu, tutukluluğunun hukuka aykırı olduğuna itiraz etmemiştir ve ilk ve devam eden tutukluluğunu haklı çıkarmak için "ilgili" ve "yeterli" olduğu söylenebilecek nedenlerin eksikliğinden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 xml:space="preserve">çi olmamıştır. Mahkeme ayrıca, </w:t>
      </w:r>
      <w:r w:rsidRPr="003D5488">
        <w:rPr>
          <w:rFonts w:ascii="Times New Roman" w:eastAsia="Times New Roman" w:hAnsi="Times New Roman" w:cs="Times New Roman"/>
          <w:i/>
          <w:iCs/>
          <w:noProof/>
          <w:sz w:val="24"/>
          <w:szCs w:val="24"/>
        </w:rPr>
        <w:t>Lütfiye Zengin ve diğerleri</w:t>
      </w:r>
      <w:r w:rsidRPr="003D5488">
        <w:rPr>
          <w:rFonts w:ascii="Times New Roman" w:eastAsia="Times New Roman" w:hAnsi="Times New Roman" w:cs="Times New Roman"/>
          <w:noProof/>
          <w:sz w:val="24"/>
          <w:szCs w:val="24"/>
        </w:rPr>
        <w:t xml:space="preserve"> davasında (yukarıda anılan) söz konusu hükmün yalnızca özgürlükten yoksun bırakma süresi ile ilgili bir hukuki yol sunduğunu tespit ettiğini kaydetmektedir (bakınız yukarıda, § 94).</w:t>
      </w:r>
    </w:p>
    <w:p w:rsidR="00152D9D" w:rsidRPr="003D5488" w:rsidRDefault="00152D9D" w:rsidP="004B079C">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28</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xml:space="preserve">.  Mevcut davada, başvurucunun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i yalnızca tutuklu yargılama süresinin uzunluğu ile ilgili değildir. AİHS'nin 5.</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3.</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 xml:space="preserve">fıkrası uyarınca, her şeyden önce, yerel mahkemelerin ilk ve devam eden tutukluluğunu haklı çıkarmak için ilgili ve yeterli gerekçeler sunmadığını iddia etmiştir. Bu bağlamda Mahkeme, </w:t>
      </w:r>
      <w:r w:rsidR="00A15AE8">
        <w:rPr>
          <w:rFonts w:ascii="Times New Roman" w:eastAsia="Times New Roman" w:hAnsi="Times New Roman" w:cs="Times New Roman"/>
          <w:noProof/>
          <w:sz w:val="24"/>
          <w:szCs w:val="24"/>
        </w:rPr>
        <w:t xml:space="preserve">Ceza Muhakemesi Kanunu’nun </w:t>
      </w:r>
      <w:r w:rsidRPr="003D5488">
        <w:rPr>
          <w:rFonts w:ascii="Times New Roman" w:eastAsia="Times New Roman" w:hAnsi="Times New Roman" w:cs="Times New Roman"/>
          <w:noProof/>
          <w:sz w:val="24"/>
          <w:szCs w:val="24"/>
        </w:rPr>
        <w:t>141.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1.</w:t>
      </w:r>
      <w:r w:rsidR="00A15AE8">
        <w:rPr>
          <w:rFonts w:ascii="Times New Roman" w:eastAsia="Times New Roman" w:hAnsi="Times New Roman" w:cs="Times New Roman"/>
          <w:noProof/>
          <w:sz w:val="24"/>
          <w:szCs w:val="24"/>
        </w:rPr>
        <w:t xml:space="preserve"> fıkrasının d bendinin </w:t>
      </w:r>
      <w:r w:rsidRPr="003D5488">
        <w:rPr>
          <w:rFonts w:ascii="Times New Roman" w:eastAsia="Times New Roman" w:hAnsi="Times New Roman" w:cs="Times New Roman"/>
          <w:noProof/>
          <w:sz w:val="24"/>
          <w:szCs w:val="24"/>
        </w:rPr>
        <w:t xml:space="preserve">ifadesinin, tutukluluğu haklı çıkarmak için verilen gerekçelerin yetersizliği nedeniyle tazminat hakkı sağlamadığını gözlemlemektedir. Ayrıca, Hükümet, mevcut davadakine benzer koşullarda, </w:t>
      </w:r>
      <w:r w:rsidR="00A15AE8" w:rsidRPr="00A15AE8">
        <w:rPr>
          <w:rFonts w:ascii="Times New Roman" w:eastAsia="Times New Roman" w:hAnsi="Times New Roman" w:cs="Times New Roman"/>
          <w:noProof/>
          <w:sz w:val="24"/>
          <w:szCs w:val="24"/>
        </w:rPr>
        <w:t xml:space="preserve">Ceza Muhakemesi Kanunu’nun </w:t>
      </w:r>
      <w:r w:rsidRPr="003D5488">
        <w:rPr>
          <w:rFonts w:ascii="Times New Roman" w:eastAsia="Times New Roman" w:hAnsi="Times New Roman" w:cs="Times New Roman"/>
          <w:noProof/>
          <w:sz w:val="24"/>
          <w:szCs w:val="24"/>
        </w:rPr>
        <w:t>141.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 xml:space="preserve">fıkrasının d bendi kapsamındaki bir talebin böyle bir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le ilgili olarak başarılı olduğunu gösteren herhangi bir yerel karar vermemiştir.</w:t>
      </w:r>
    </w:p>
    <w:p w:rsidR="00152D9D" w:rsidRPr="003D5488" w:rsidRDefault="00152D9D" w:rsidP="00152D9D">
      <w:pPr>
        <w:spacing w:after="0" w:line="240" w:lineRule="auto"/>
        <w:ind w:firstLine="284"/>
        <w:jc w:val="both"/>
        <w:rPr>
          <w:rFonts w:ascii="Times New Roman" w:eastAsia="Times New Roman" w:hAnsi="Times New Roman" w:cs="Times New Roman"/>
          <w:noProof/>
          <w:sz w:val="24"/>
          <w:szCs w:val="24"/>
        </w:rPr>
      </w:pPr>
      <w:r w:rsidRPr="003D5488">
        <w:rPr>
          <w:rFonts w:ascii="Times New Roman" w:eastAsia="Times New Roman" w:hAnsi="Times New Roman" w:cs="Times New Roman"/>
          <w:noProof/>
          <w:sz w:val="24"/>
          <w:szCs w:val="24"/>
        </w:rPr>
        <w:fldChar w:fldCharType="begin"/>
      </w:r>
      <w:r w:rsidRPr="003D5488">
        <w:rPr>
          <w:rFonts w:ascii="Times New Roman" w:eastAsia="Times New Roman" w:hAnsi="Times New Roman" w:cs="Times New Roman"/>
          <w:noProof/>
          <w:sz w:val="24"/>
          <w:szCs w:val="24"/>
        </w:rPr>
        <w:instrText xml:space="preserve"> SEQ level0 \*arabic </w:instrText>
      </w:r>
      <w:r w:rsidRPr="003D5488">
        <w:rPr>
          <w:rFonts w:ascii="Times New Roman" w:eastAsia="Times New Roman" w:hAnsi="Times New Roman" w:cs="Times New Roman"/>
          <w:noProof/>
          <w:sz w:val="24"/>
          <w:szCs w:val="24"/>
        </w:rPr>
        <w:fldChar w:fldCharType="separate"/>
      </w:r>
      <w:r w:rsidR="001302A1">
        <w:rPr>
          <w:rFonts w:ascii="Times New Roman" w:eastAsia="Times New Roman" w:hAnsi="Times New Roman" w:cs="Times New Roman"/>
          <w:noProof/>
          <w:sz w:val="24"/>
          <w:szCs w:val="24"/>
        </w:rPr>
        <w:t>29</w:t>
      </w:r>
      <w:r w:rsidRPr="003D5488">
        <w:rPr>
          <w:rFonts w:ascii="Times New Roman" w:eastAsia="Times New Roman" w:hAnsi="Times New Roman" w:cs="Times New Roman"/>
          <w:noProof/>
          <w:sz w:val="24"/>
          <w:szCs w:val="24"/>
        </w:rPr>
        <w:fldChar w:fldCharType="end"/>
      </w:r>
      <w:r w:rsidRPr="003D5488">
        <w:rPr>
          <w:rFonts w:ascii="Times New Roman" w:eastAsia="Times New Roman" w:hAnsi="Times New Roman" w:cs="Times New Roman"/>
          <w:noProof/>
          <w:sz w:val="24"/>
          <w:szCs w:val="24"/>
        </w:rPr>
        <w:t xml:space="preserve">.  Bu nedenle Mahkeme, </w:t>
      </w:r>
      <w:r w:rsidR="00A15AE8" w:rsidRPr="00A15AE8">
        <w:rPr>
          <w:rFonts w:ascii="Times New Roman" w:eastAsia="Times New Roman" w:hAnsi="Times New Roman" w:cs="Times New Roman"/>
          <w:noProof/>
          <w:sz w:val="24"/>
          <w:szCs w:val="24"/>
        </w:rPr>
        <w:t xml:space="preserve">Ceza Muhakemesi Kanunu’nun </w:t>
      </w:r>
      <w:r w:rsidRPr="003D5488">
        <w:rPr>
          <w:rFonts w:ascii="Times New Roman" w:eastAsia="Times New Roman" w:hAnsi="Times New Roman" w:cs="Times New Roman"/>
          <w:noProof/>
          <w:sz w:val="24"/>
          <w:szCs w:val="24"/>
        </w:rPr>
        <w:t xml:space="preserve"> 141.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1.</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fıkrasının a ve b bendi uyarınca tazminat talebinin bir kişinin bir suç işlediğine dair makul şüphenin bulunmaması ya da Sözleşme'nin 5.</w:t>
      </w:r>
      <w:r w:rsidR="00A15AE8">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1</w:t>
      </w:r>
      <w:r w:rsidR="00A15AE8">
        <w:rPr>
          <w:rFonts w:ascii="Times New Roman" w:eastAsia="Times New Roman" w:hAnsi="Times New Roman" w:cs="Times New Roman"/>
          <w:noProof/>
          <w:sz w:val="24"/>
          <w:szCs w:val="24"/>
        </w:rPr>
        <w:t>. ve 3. f</w:t>
      </w:r>
      <w:r w:rsidRPr="003D5488">
        <w:rPr>
          <w:rFonts w:ascii="Times New Roman" w:eastAsia="Times New Roman" w:hAnsi="Times New Roman" w:cs="Times New Roman"/>
          <w:noProof/>
          <w:sz w:val="24"/>
          <w:szCs w:val="24"/>
        </w:rPr>
        <w:t>ıkrası uyarınca tutuklu yargılanmayı haklı göstermek için ilgili ve yeterli gerekçelerin bulunmaması ile ilgili olarak etkili bir hukuk yolu olarak kabul edilemeyeceği kanaatindedir. Bu nedenle Hükümet’in bu yolun tüketilmemiş olduğuna yönelik itirazı reddedilmelidir.</w:t>
      </w:r>
    </w:p>
    <w:p w:rsidR="00152D9D" w:rsidRPr="003D5488" w:rsidRDefault="00152D9D" w:rsidP="00724F6F">
      <w:pPr>
        <w:pStyle w:val="ListeParagraf"/>
        <w:keepNext/>
        <w:keepLines/>
        <w:numPr>
          <w:ilvl w:val="0"/>
          <w:numId w:val="20"/>
        </w:numPr>
        <w:spacing w:before="100" w:beforeAutospacing="1" w:after="240" w:line="240" w:lineRule="auto"/>
        <w:jc w:val="both"/>
        <w:outlineLvl w:val="2"/>
        <w:rPr>
          <w:rFonts w:ascii="Times New Roman" w:eastAsia="MS Gothic" w:hAnsi="Times New Roman" w:cs="Microsoft Himalaya"/>
          <w:b/>
          <w:bCs/>
          <w:noProof/>
          <w:sz w:val="24"/>
        </w:rPr>
      </w:pPr>
      <w:r w:rsidRPr="003D5488">
        <w:rPr>
          <w:rFonts w:ascii="Times New Roman" w:eastAsia="MS Gothic" w:hAnsi="Times New Roman" w:cs="Microsoft Himalaya"/>
          <w:b/>
          <w:bCs/>
          <w:noProof/>
          <w:sz w:val="24"/>
        </w:rPr>
        <w:t>Başvurucunun mağdur statüsü</w:t>
      </w:r>
    </w:p>
    <w:p w:rsidR="00152D9D" w:rsidRPr="003D5488" w:rsidRDefault="00152D9D" w:rsidP="00152D9D">
      <w:pPr>
        <w:keepNext/>
        <w:keepLines/>
        <w:numPr>
          <w:ilvl w:val="3"/>
          <w:numId w:val="0"/>
        </w:numPr>
        <w:spacing w:before="100" w:beforeAutospacing="1" w:after="120" w:line="240" w:lineRule="auto"/>
        <w:ind w:left="680" w:hanging="340"/>
        <w:jc w:val="both"/>
        <w:outlineLvl w:val="3"/>
        <w:rPr>
          <w:rFonts w:ascii="Times New Roman" w:eastAsia="Times New Roman" w:hAnsi="Times New Roman" w:cs="Microsoft Himalaya"/>
          <w:bCs/>
          <w:i/>
          <w:iCs/>
          <w:noProof/>
          <w:sz w:val="24"/>
        </w:rPr>
      </w:pPr>
      <w:r w:rsidRPr="003D5488">
        <w:rPr>
          <w:rFonts w:ascii="Times New Roman" w:eastAsia="Times New Roman" w:hAnsi="Times New Roman" w:cs="Microsoft Himalaya"/>
          <w:bCs/>
          <w:i/>
          <w:iCs/>
          <w:noProof/>
          <w:sz w:val="24"/>
        </w:rPr>
        <w:t xml:space="preserve">Büyük Daire’nin değerlendirmesi </w:t>
      </w:r>
    </w:p>
    <w:p w:rsidR="00152D9D"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30</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Mahkeme, Sözleşme'nin herhangi bir ihlalini telafi etmenin ilk önce ulusal makamlara düştüğünü ve bir başvurucunun iddia edilen bir ihlalin gerçek bir mağduru olduğunu iddia edip edemeyeceğini değerlendirirken, sadece başvurunun Mahkeme’ye sunulduğu andaki resmi durum değil, </w:t>
      </w:r>
      <w:r w:rsidRPr="003D5488">
        <w:rPr>
          <w:rFonts w:ascii="Times New Roman" w:eastAsia="Times New Roman" w:hAnsi="Times New Roman" w:cs="Microsoft Himalaya"/>
          <w:noProof/>
          <w:sz w:val="24"/>
          <w:szCs w:val="24"/>
        </w:rPr>
        <w:lastRenderedPageBreak/>
        <w:t xml:space="preserve">Mahkeme tarafından davanın incelenmesinden önceki tüm gelişmeler de </w:t>
      </w:r>
      <w:r w:rsidR="00DA1D16">
        <w:rPr>
          <w:rFonts w:ascii="Times New Roman" w:eastAsia="Times New Roman" w:hAnsi="Times New Roman" w:cs="Microsoft Himalaya"/>
          <w:noProof/>
          <w:sz w:val="24"/>
          <w:szCs w:val="24"/>
        </w:rPr>
        <w:t>dâhil</w:t>
      </w:r>
      <w:r w:rsidRPr="003D5488">
        <w:rPr>
          <w:rFonts w:ascii="Times New Roman" w:eastAsia="Times New Roman" w:hAnsi="Times New Roman" w:cs="Microsoft Himalaya"/>
          <w:noProof/>
          <w:sz w:val="24"/>
          <w:szCs w:val="24"/>
        </w:rPr>
        <w:t xml:space="preserve"> olmak üzere söz konusu davanın tüm koşulları dikkate alınması gerektiğini hatırlatmaktadır (bakınız </w:t>
      </w:r>
      <w:r w:rsidRPr="003D5488">
        <w:rPr>
          <w:rFonts w:ascii="Times New Roman" w:eastAsia="Times New Roman" w:hAnsi="Times New Roman" w:cs="Microsoft Himalaya"/>
          <w:i/>
          <w:iCs/>
          <w:noProof/>
          <w:sz w:val="24"/>
          <w:szCs w:val="24"/>
        </w:rPr>
        <w:t>Tănase v. Moldova</w:t>
      </w:r>
      <w:r w:rsidRPr="003D5488">
        <w:rPr>
          <w:rFonts w:ascii="Times New Roman" w:eastAsia="Times New Roman" w:hAnsi="Times New Roman" w:cs="Microsoft Himalaya"/>
          <w:noProof/>
          <w:sz w:val="24"/>
          <w:szCs w:val="24"/>
        </w:rPr>
        <w:t xml:space="preserve"> [BD], no. 7/08, § 105, ECHR 2010).</w:t>
      </w:r>
    </w:p>
    <w:p w:rsidR="00152D9D"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31</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xml:space="preserve">.  Başvurucunun lehine olan bir karar veya tedbir, ilke olarak, ulusal makamlar, açıkça veya esasen kabul etmedikçe ve daha sonra Sözleşme'nin ihlalini tazmin etmedikçe Sözleşme'nin 34.maddesi uyarınca başvurucuyu “mağdur” statüsünden yoksun bırakmak için yeterli değildir (bakınız </w:t>
      </w:r>
      <w:r w:rsidRPr="003D5488">
        <w:rPr>
          <w:rFonts w:ascii="Times New Roman" w:eastAsia="Times New Roman" w:hAnsi="Times New Roman" w:cs="Microsoft Himalaya"/>
          <w:i/>
          <w:iCs/>
          <w:noProof/>
          <w:sz w:val="24"/>
          <w:szCs w:val="24"/>
        </w:rPr>
        <w:t>Scordino v. İtalya (no. 1)</w:t>
      </w:r>
      <w:r w:rsidRPr="003D5488">
        <w:rPr>
          <w:rFonts w:ascii="Times New Roman" w:eastAsia="Times New Roman" w:hAnsi="Times New Roman" w:cs="Microsoft Himalaya"/>
          <w:noProof/>
          <w:sz w:val="24"/>
          <w:szCs w:val="24"/>
        </w:rPr>
        <w:t xml:space="preserve"> [BD], no. 36813/97, §§ 179-80, ECHR 2006 V; </w:t>
      </w:r>
      <w:r w:rsidRPr="003D5488">
        <w:rPr>
          <w:rFonts w:ascii="Times New Roman" w:eastAsia="Times New Roman" w:hAnsi="Times New Roman" w:cs="Microsoft Himalaya"/>
          <w:i/>
          <w:iCs/>
          <w:noProof/>
          <w:sz w:val="24"/>
          <w:szCs w:val="24"/>
        </w:rPr>
        <w:t>Gäfgen v. Almanya</w:t>
      </w:r>
      <w:r w:rsidRPr="003D5488">
        <w:rPr>
          <w:rFonts w:ascii="Times New Roman" w:eastAsia="Times New Roman" w:hAnsi="Times New Roman" w:cs="Microsoft Himalaya"/>
          <w:noProof/>
          <w:sz w:val="24"/>
          <w:szCs w:val="24"/>
        </w:rPr>
        <w:t xml:space="preserve"> [BD], no. 22978/05, § 115, ECHR 2010 ; </w:t>
      </w:r>
      <w:r w:rsidRPr="003D5488">
        <w:rPr>
          <w:rFonts w:ascii="Times New Roman" w:eastAsia="Times New Roman" w:hAnsi="Times New Roman" w:cs="Microsoft Himalaya"/>
          <w:i/>
          <w:iCs/>
          <w:noProof/>
          <w:sz w:val="24"/>
          <w:szCs w:val="24"/>
        </w:rPr>
        <w:t>Kurić ve Diğerleri v. Slovenya</w:t>
      </w:r>
      <w:r w:rsidRPr="003D5488">
        <w:rPr>
          <w:rFonts w:ascii="Times New Roman" w:eastAsia="Times New Roman" w:hAnsi="Times New Roman" w:cs="Microsoft Himalaya"/>
          <w:noProof/>
          <w:sz w:val="24"/>
          <w:szCs w:val="24"/>
        </w:rPr>
        <w:t xml:space="preserve"> [BD], no. 26828/06, § 259, ECHR 2012 (extracts); ve </w:t>
      </w:r>
      <w:r w:rsidRPr="003D5488">
        <w:rPr>
          <w:rFonts w:ascii="Times New Roman" w:eastAsia="Times New Roman" w:hAnsi="Times New Roman" w:cs="Microsoft Himalaya"/>
          <w:i/>
          <w:iCs/>
          <w:noProof/>
          <w:sz w:val="24"/>
          <w:szCs w:val="24"/>
        </w:rPr>
        <w:t>Cristea v. Moldova Cumhuriyeti</w:t>
      </w:r>
      <w:r w:rsidRPr="003D5488">
        <w:rPr>
          <w:rFonts w:ascii="Times New Roman" w:eastAsia="Times New Roman" w:hAnsi="Times New Roman" w:cs="Microsoft Himalaya"/>
          <w:noProof/>
          <w:sz w:val="24"/>
          <w:szCs w:val="24"/>
        </w:rPr>
        <w:t xml:space="preserve">, no. 35098/12, § 25, 12 Şubat 2019). Yalnızca bu koşulların her ikisinin de karşılandığı durumlarda, Sözleşme'nin koruyucu mekanizmasının ikincil niteliği başvurunun incelenmesini engellemektedir (bakınız yukarıda anılan </w:t>
      </w:r>
      <w:r w:rsidRPr="003D5488">
        <w:rPr>
          <w:rFonts w:ascii="Times New Roman" w:eastAsia="Times New Roman" w:hAnsi="Times New Roman" w:cs="Microsoft Himalaya"/>
          <w:i/>
          <w:iCs/>
          <w:noProof/>
          <w:sz w:val="24"/>
          <w:szCs w:val="24"/>
        </w:rPr>
        <w:t>Rooman</w:t>
      </w:r>
      <w:r w:rsidRPr="003D5488">
        <w:rPr>
          <w:rFonts w:ascii="Times New Roman" w:eastAsia="Times New Roman" w:hAnsi="Times New Roman" w:cs="Microsoft Himalaya"/>
          <w:noProof/>
          <w:sz w:val="24"/>
          <w:szCs w:val="24"/>
        </w:rPr>
        <w:t>, § 129).</w:t>
      </w:r>
    </w:p>
    <w:p w:rsidR="00152D9D" w:rsidRPr="003D5488" w:rsidRDefault="00152D9D" w:rsidP="004B079C">
      <w:pPr>
        <w:spacing w:after="0" w:line="240" w:lineRule="auto"/>
        <w:ind w:firstLine="284"/>
        <w:jc w:val="both"/>
        <w:rPr>
          <w:rFonts w:ascii="Times New Roman" w:eastAsia="Times New Roman" w:hAnsi="Times New Roman" w:cs="Microsoft Himalaya"/>
          <w:noProof/>
          <w:snapToGrid w:val="0"/>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32</w:t>
      </w:r>
      <w:r w:rsidRPr="003D5488">
        <w:rPr>
          <w:rFonts w:ascii="Times New Roman" w:eastAsia="Times New Roman" w:hAnsi="Times New Roman" w:cs="Microsoft Himalaya"/>
          <w:noProof/>
          <w:sz w:val="24"/>
          <w:szCs w:val="24"/>
        </w:rPr>
        <w:fldChar w:fldCharType="end"/>
      </w:r>
      <w:r w:rsidRPr="003D5488">
        <w:rPr>
          <w:rFonts w:ascii="Times New Roman" w:eastAsia="Times New Roman" w:hAnsi="Times New Roman" w:cs="Microsoft Himalaya"/>
          <w:noProof/>
          <w:sz w:val="24"/>
          <w:szCs w:val="24"/>
        </w:rPr>
        <w:t>.  </w:t>
      </w:r>
      <w:r w:rsidRPr="003D5488">
        <w:rPr>
          <w:rFonts w:ascii="Times New Roman" w:eastAsia="Times New Roman" w:hAnsi="Times New Roman" w:cs="Microsoft Himalaya"/>
          <w:noProof/>
          <w:snapToGrid w:val="0"/>
          <w:sz w:val="24"/>
          <w:szCs w:val="24"/>
        </w:rPr>
        <w:t xml:space="preserve">Mahkeme yukarıda, süregelen bir özgürlükten yoksun bırakmanın hukuka uygunluğuna ilişkin bir hukuk yolunun etkili olabilmesi için bir tahliye olasılığı sunması gerektiği yönündeki içtihadına atıfta bulunmuştur (bakınız yukarıdaki 207. paragraf). Ancak, tutukluluk halihazırda sona erdiğinde, ilgili kişiye ilişkin birincisi, tutuklamanın hukuka aykırı olduğunun kabulüne ve ikinci olarak bu tespit temelinde tazminat ödenmesine </w:t>
      </w:r>
      <w:r w:rsidR="00DA1D16">
        <w:rPr>
          <w:rFonts w:ascii="Times New Roman" w:eastAsia="Times New Roman" w:hAnsi="Times New Roman" w:cs="Microsoft Himalaya"/>
          <w:noProof/>
          <w:snapToGrid w:val="0"/>
          <w:sz w:val="24"/>
          <w:szCs w:val="24"/>
        </w:rPr>
        <w:t>imkân</w:t>
      </w:r>
      <w:r w:rsidRPr="003D5488">
        <w:rPr>
          <w:rFonts w:ascii="Times New Roman" w:eastAsia="Times New Roman" w:hAnsi="Times New Roman" w:cs="Microsoft Himalaya"/>
          <w:noProof/>
          <w:snapToGrid w:val="0"/>
          <w:sz w:val="24"/>
          <w:szCs w:val="24"/>
        </w:rPr>
        <w:t xml:space="preserve"> asğlayabilecek bir hukuk yoluna erişiminin olup olmadığı doğrulanmal</w:t>
      </w:r>
      <w:r w:rsidR="004B079C" w:rsidRPr="003D5488">
        <w:rPr>
          <w:rFonts w:ascii="Times New Roman" w:eastAsia="Times New Roman" w:hAnsi="Times New Roman" w:cs="Microsoft Himalaya"/>
          <w:noProof/>
          <w:snapToGrid w:val="0"/>
          <w:sz w:val="24"/>
          <w:szCs w:val="24"/>
        </w:rPr>
        <w:t>ıdır.</w:t>
      </w:r>
    </w:p>
    <w:p w:rsidR="00152D9D"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napToGrid w:val="0"/>
          <w:sz w:val="24"/>
          <w:szCs w:val="24"/>
        </w:rPr>
        <w:fldChar w:fldCharType="begin"/>
      </w:r>
      <w:r w:rsidRPr="003D5488">
        <w:rPr>
          <w:rFonts w:ascii="Times New Roman" w:eastAsia="Times New Roman" w:hAnsi="Times New Roman" w:cs="Microsoft Himalaya"/>
          <w:noProof/>
          <w:snapToGrid w:val="0"/>
          <w:sz w:val="24"/>
          <w:szCs w:val="24"/>
        </w:rPr>
        <w:instrText xml:space="preserve"> SEQ level0 \*arabic </w:instrText>
      </w:r>
      <w:r w:rsidRPr="003D5488">
        <w:rPr>
          <w:rFonts w:ascii="Times New Roman" w:eastAsia="Times New Roman" w:hAnsi="Times New Roman" w:cs="Microsoft Himalaya"/>
          <w:noProof/>
          <w:snapToGrid w:val="0"/>
          <w:sz w:val="24"/>
          <w:szCs w:val="24"/>
        </w:rPr>
        <w:fldChar w:fldCharType="separate"/>
      </w:r>
      <w:r w:rsidR="001302A1">
        <w:rPr>
          <w:rFonts w:ascii="Times New Roman" w:eastAsia="Times New Roman" w:hAnsi="Times New Roman" w:cs="Microsoft Himalaya"/>
          <w:noProof/>
          <w:snapToGrid w:val="0"/>
          <w:sz w:val="24"/>
          <w:szCs w:val="24"/>
        </w:rPr>
        <w:t>33</w:t>
      </w:r>
      <w:r w:rsidRPr="003D5488">
        <w:rPr>
          <w:rFonts w:ascii="Times New Roman" w:eastAsia="Times New Roman" w:hAnsi="Times New Roman" w:cs="Microsoft Himalaya"/>
          <w:noProof/>
          <w:snapToGrid w:val="0"/>
          <w:sz w:val="24"/>
          <w:szCs w:val="24"/>
        </w:rPr>
        <w:fldChar w:fldCharType="end"/>
      </w:r>
      <w:r w:rsidRPr="003D5488">
        <w:rPr>
          <w:rFonts w:ascii="Times New Roman" w:eastAsia="Times New Roman" w:hAnsi="Times New Roman" w:cs="Microsoft Himalaya"/>
          <w:noProof/>
          <w:snapToGrid w:val="0"/>
          <w:sz w:val="24"/>
          <w:szCs w:val="24"/>
        </w:rPr>
        <w:t>. </w:t>
      </w:r>
      <w:r w:rsidRPr="003D5488">
        <w:rPr>
          <w:rFonts w:ascii="Times New Roman" w:eastAsia="Times New Roman" w:hAnsi="Times New Roman" w:cs="Microsoft Himalaya"/>
          <w:noProof/>
          <w:sz w:val="24"/>
          <w:szCs w:val="24"/>
        </w:rPr>
        <w:t xml:space="preserve">Mevcut davada, başvurucunun mevcut başvurusunun amaçları doğrultusunda tutukluluğu çoktan sona ermiştir (bu bağlamda tutuklulukta geçirdiği sürenin ayrıntılı bir incelemesi için bakınız aşağıda 290-297. paragraflar). Bu nedenle ilk olarak, ulusal makamlar tarafından, en azından özü </w:t>
      </w:r>
      <w:r w:rsidR="00350CA9">
        <w:rPr>
          <w:rFonts w:ascii="Times New Roman" w:eastAsia="Times New Roman" w:hAnsi="Times New Roman" w:cs="Microsoft Himalaya"/>
          <w:noProof/>
          <w:sz w:val="24"/>
          <w:szCs w:val="24"/>
        </w:rPr>
        <w:t>itibarıyla</w:t>
      </w:r>
      <w:r w:rsidRPr="003D5488">
        <w:rPr>
          <w:rFonts w:ascii="Times New Roman" w:eastAsia="Times New Roman" w:hAnsi="Times New Roman" w:cs="Microsoft Himalaya"/>
          <w:noProof/>
          <w:sz w:val="24"/>
          <w:szCs w:val="24"/>
        </w:rPr>
        <w:t xml:space="preserve">, Sözleşme tarafından korunan bir hakkın ihlal edildiğinin kabul edilip edilmediğinin ve ikinci olarak, sağlanan tazminatın uygun ve yeterli olup olmadığının belirlemesi gerekir (bakınız örneğin, </w:t>
      </w:r>
      <w:r w:rsidRPr="003D5488">
        <w:rPr>
          <w:rFonts w:ascii="Times New Roman" w:eastAsia="Times New Roman" w:hAnsi="Times New Roman" w:cs="Microsoft Himalaya"/>
          <w:i/>
          <w:iCs/>
          <w:noProof/>
          <w:sz w:val="24"/>
          <w:szCs w:val="24"/>
        </w:rPr>
        <w:t>Vedat Doğru v. Türkiye</w:t>
      </w:r>
      <w:r w:rsidRPr="003D5488">
        <w:rPr>
          <w:rFonts w:ascii="Times New Roman" w:eastAsia="Times New Roman" w:hAnsi="Times New Roman" w:cs="Microsoft Himalaya"/>
          <w:noProof/>
          <w:sz w:val="24"/>
          <w:szCs w:val="24"/>
        </w:rPr>
        <w:t>, no. 2469/10, § 37, 5 Nisan 2016).</w:t>
      </w:r>
    </w:p>
    <w:p w:rsidR="00152D9D" w:rsidRPr="003D5488" w:rsidRDefault="00152D9D" w:rsidP="004B079C">
      <w:pPr>
        <w:spacing w:after="0" w:line="240" w:lineRule="auto"/>
        <w:ind w:firstLine="284"/>
        <w:jc w:val="both"/>
        <w:rPr>
          <w:rFonts w:ascii="Times New Roman" w:eastAsia="Times New Roman" w:hAnsi="Times New Roman" w:cs="Microsoft Himalaya"/>
          <w:noProof/>
          <w:snapToGrid w:val="0"/>
          <w:sz w:val="24"/>
          <w:szCs w:val="24"/>
        </w:rPr>
      </w:pPr>
      <w:r w:rsidRPr="003D5488">
        <w:rPr>
          <w:rFonts w:ascii="Times New Roman" w:eastAsia="Times New Roman" w:hAnsi="Times New Roman" w:cs="Microsoft Himalaya"/>
          <w:noProof/>
          <w:snapToGrid w:val="0"/>
          <w:sz w:val="24"/>
          <w:szCs w:val="24"/>
        </w:rPr>
        <w:fldChar w:fldCharType="begin"/>
      </w:r>
      <w:r w:rsidRPr="003D5488">
        <w:rPr>
          <w:rFonts w:ascii="Times New Roman" w:eastAsia="Times New Roman" w:hAnsi="Times New Roman" w:cs="Microsoft Himalaya"/>
          <w:noProof/>
          <w:snapToGrid w:val="0"/>
          <w:sz w:val="24"/>
          <w:szCs w:val="24"/>
        </w:rPr>
        <w:instrText xml:space="preserve"> SEQ level0 \*arabic </w:instrText>
      </w:r>
      <w:r w:rsidRPr="003D5488">
        <w:rPr>
          <w:rFonts w:ascii="Times New Roman" w:eastAsia="Times New Roman" w:hAnsi="Times New Roman" w:cs="Microsoft Himalaya"/>
          <w:noProof/>
          <w:snapToGrid w:val="0"/>
          <w:sz w:val="24"/>
          <w:szCs w:val="24"/>
        </w:rPr>
        <w:fldChar w:fldCharType="separate"/>
      </w:r>
      <w:r w:rsidR="001302A1">
        <w:rPr>
          <w:rFonts w:ascii="Times New Roman" w:eastAsia="Times New Roman" w:hAnsi="Times New Roman" w:cs="Microsoft Himalaya"/>
          <w:noProof/>
          <w:snapToGrid w:val="0"/>
          <w:sz w:val="24"/>
          <w:szCs w:val="24"/>
        </w:rPr>
        <w:t>34</w:t>
      </w:r>
      <w:r w:rsidRPr="003D5488">
        <w:rPr>
          <w:rFonts w:ascii="Times New Roman" w:eastAsia="Times New Roman" w:hAnsi="Times New Roman" w:cs="Microsoft Himalaya"/>
          <w:noProof/>
          <w:snapToGrid w:val="0"/>
          <w:sz w:val="24"/>
          <w:szCs w:val="24"/>
        </w:rPr>
        <w:fldChar w:fldCharType="end"/>
      </w:r>
      <w:r w:rsidRPr="003D5488">
        <w:rPr>
          <w:rFonts w:ascii="Times New Roman" w:eastAsia="Times New Roman" w:hAnsi="Times New Roman" w:cs="Microsoft Himalaya"/>
          <w:noProof/>
          <w:snapToGrid w:val="0"/>
          <w:sz w:val="24"/>
          <w:szCs w:val="24"/>
        </w:rPr>
        <w:t>.  "Kabul" sorunuyla ilgili olarak, Mahkeme, ilk olarak, Anayasa Mahkemesi’nin başvurucunun davasında Sözleşme'nin 5.</w:t>
      </w:r>
      <w:r w:rsidR="00350CA9">
        <w:rPr>
          <w:rFonts w:ascii="Times New Roman" w:eastAsia="Times New Roman" w:hAnsi="Times New Roman" w:cs="Microsoft Himalaya"/>
          <w:noProof/>
          <w:snapToGrid w:val="0"/>
          <w:sz w:val="24"/>
          <w:szCs w:val="24"/>
        </w:rPr>
        <w:t xml:space="preserve"> maddesinin</w:t>
      </w:r>
      <w:r w:rsidRPr="003D5488">
        <w:rPr>
          <w:rFonts w:ascii="Times New Roman" w:eastAsia="Times New Roman" w:hAnsi="Times New Roman" w:cs="Microsoft Himalaya"/>
          <w:noProof/>
          <w:snapToGrid w:val="0"/>
          <w:sz w:val="24"/>
          <w:szCs w:val="24"/>
        </w:rPr>
        <w:t xml:space="preserve"> 1.</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 xml:space="preserve">fıkrası ve 4, 10 ve 18. maddeleri ve Sözleşme’ye Ek 1 Numaralı Protokol'ün 3. maddesi ile güvence altına alınan hakların özü itibarıyla ihlal edilmediğini belirtmektedir. Bu nedenle, başvurucunun bu hükümler kapsamındaki </w:t>
      </w:r>
      <w:r w:rsidR="007E3DD1" w:rsidRPr="003D5488">
        <w:rPr>
          <w:rFonts w:ascii="Times New Roman" w:eastAsia="Times New Roman" w:hAnsi="Times New Roman" w:cs="Microsoft Himalaya"/>
          <w:noProof/>
          <w:snapToGrid w:val="0"/>
          <w:sz w:val="24"/>
          <w:szCs w:val="24"/>
        </w:rPr>
        <w:t>şikâyet</w:t>
      </w:r>
      <w:r w:rsidRPr="003D5488">
        <w:rPr>
          <w:rFonts w:ascii="Times New Roman" w:eastAsia="Times New Roman" w:hAnsi="Times New Roman" w:cs="Microsoft Himalaya"/>
          <w:noProof/>
          <w:snapToGrid w:val="0"/>
          <w:sz w:val="24"/>
          <w:szCs w:val="24"/>
        </w:rPr>
        <w:t>leri ile ilgili mağdur statüsünün bu temelde sorgulanamayacağını düşünmektedir.</w:t>
      </w:r>
    </w:p>
    <w:bookmarkStart w:id="32" w:name="optionAqualitedevictimedebut"/>
    <w:p w:rsidR="00152D9D" w:rsidRPr="003D5488" w:rsidRDefault="00152D9D" w:rsidP="004B079C">
      <w:pPr>
        <w:spacing w:after="0" w:line="240" w:lineRule="auto"/>
        <w:ind w:firstLine="284"/>
        <w:jc w:val="both"/>
        <w:rPr>
          <w:rFonts w:ascii="Times New Roman" w:eastAsia="Times New Roman" w:hAnsi="Times New Roman" w:cs="Microsoft Himalaya"/>
          <w:noProof/>
          <w:snapToGrid w:val="0"/>
          <w:sz w:val="24"/>
          <w:szCs w:val="24"/>
        </w:rPr>
      </w:pPr>
      <w:r w:rsidRPr="003D5488">
        <w:rPr>
          <w:rFonts w:ascii="Times New Roman" w:eastAsia="Times New Roman" w:hAnsi="Times New Roman" w:cs="Microsoft Himalaya"/>
          <w:noProof/>
          <w:snapToGrid w:val="0"/>
          <w:sz w:val="24"/>
          <w:szCs w:val="24"/>
        </w:rPr>
        <w:fldChar w:fldCharType="begin"/>
      </w:r>
      <w:r w:rsidRPr="003D5488">
        <w:rPr>
          <w:rFonts w:ascii="Times New Roman" w:eastAsia="Times New Roman" w:hAnsi="Times New Roman" w:cs="Microsoft Himalaya"/>
          <w:noProof/>
          <w:snapToGrid w:val="0"/>
          <w:sz w:val="24"/>
          <w:szCs w:val="24"/>
        </w:rPr>
        <w:instrText xml:space="preserve"> SEQ level0 \*arabic </w:instrText>
      </w:r>
      <w:r w:rsidRPr="003D5488">
        <w:rPr>
          <w:rFonts w:ascii="Times New Roman" w:eastAsia="Times New Roman" w:hAnsi="Times New Roman" w:cs="Microsoft Himalaya"/>
          <w:noProof/>
          <w:snapToGrid w:val="0"/>
          <w:sz w:val="24"/>
          <w:szCs w:val="24"/>
        </w:rPr>
        <w:fldChar w:fldCharType="separate"/>
      </w:r>
      <w:r w:rsidR="001302A1">
        <w:rPr>
          <w:rFonts w:ascii="Times New Roman" w:eastAsia="Times New Roman" w:hAnsi="Times New Roman" w:cs="Microsoft Himalaya"/>
          <w:noProof/>
          <w:snapToGrid w:val="0"/>
          <w:sz w:val="24"/>
          <w:szCs w:val="24"/>
        </w:rPr>
        <w:t>35</w:t>
      </w:r>
      <w:r w:rsidRPr="003D5488">
        <w:rPr>
          <w:rFonts w:ascii="Times New Roman" w:eastAsia="Times New Roman" w:hAnsi="Times New Roman" w:cs="Microsoft Himalaya"/>
          <w:noProof/>
          <w:snapToGrid w:val="0"/>
          <w:sz w:val="24"/>
          <w:szCs w:val="24"/>
        </w:rPr>
        <w:fldChar w:fldCharType="end"/>
      </w:r>
      <w:bookmarkEnd w:id="32"/>
      <w:r w:rsidRPr="003D5488">
        <w:rPr>
          <w:rFonts w:ascii="Times New Roman" w:eastAsia="Times New Roman" w:hAnsi="Times New Roman" w:cs="Microsoft Himalaya"/>
          <w:noProof/>
          <w:snapToGrid w:val="0"/>
          <w:sz w:val="24"/>
          <w:szCs w:val="24"/>
        </w:rPr>
        <w:t>.  Mahkeme, Sözleşme'nin 5.</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maddesinin 3.</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 xml:space="preserve">fıkrası kapsamındaki </w:t>
      </w:r>
      <w:r w:rsidR="007E3DD1" w:rsidRPr="003D5488">
        <w:rPr>
          <w:rFonts w:ascii="Times New Roman" w:eastAsia="Times New Roman" w:hAnsi="Times New Roman" w:cs="Microsoft Himalaya"/>
          <w:noProof/>
          <w:snapToGrid w:val="0"/>
          <w:sz w:val="24"/>
          <w:szCs w:val="24"/>
        </w:rPr>
        <w:t>şikâyet</w:t>
      </w:r>
      <w:r w:rsidRPr="003D5488">
        <w:rPr>
          <w:rFonts w:ascii="Times New Roman" w:eastAsia="Times New Roman" w:hAnsi="Times New Roman" w:cs="Microsoft Himalaya"/>
          <w:noProof/>
          <w:snapToGrid w:val="0"/>
          <w:sz w:val="24"/>
          <w:szCs w:val="24"/>
        </w:rPr>
        <w:t xml:space="preserve">e dönüldüğünde, başvurucunun önündeki ilk ve devam tutukluluğunun devamına hükmeden adli kararların, kanundaki tutukluluk gerekçelerine ve soyut, tekrarlayıp duran ve basmakalıp terimlere atıfta bulunmaktan başka hiçbir neden içermediğini ileri sürdüğünü gözlemlemektedir. Bu bağlamda, Anayasa Mahkemesi, başvurucunun </w:t>
      </w:r>
      <w:r w:rsidRPr="003D5488">
        <w:rPr>
          <w:rFonts w:ascii="Times New Roman" w:eastAsia="Times New Roman" w:hAnsi="Times New Roman" w:cs="Microsoft Himalaya"/>
          <w:noProof/>
          <w:snapToGrid w:val="0"/>
          <w:sz w:val="24"/>
          <w:szCs w:val="24"/>
        </w:rPr>
        <w:lastRenderedPageBreak/>
        <w:t>tutukluluğunun devamına ilişkin kararların yetersiz nedenler içerdiğine karar vermiştir. Ancak, Anayasa Mahkemesi, başvurucunun tutukluluğuna ilişkin ilk kararın 5.</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maddenin 3.</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fıkrasına veya dahası 1982 Anayasası</w:t>
      </w:r>
      <w:r w:rsidR="00350CA9">
        <w:rPr>
          <w:rFonts w:ascii="Times New Roman" w:eastAsia="Times New Roman" w:hAnsi="Times New Roman" w:cs="Microsoft Himalaya"/>
          <w:noProof/>
          <w:snapToGrid w:val="0"/>
          <w:sz w:val="24"/>
          <w:szCs w:val="24"/>
        </w:rPr>
        <w:t>’</w:t>
      </w:r>
      <w:r w:rsidRPr="003D5488">
        <w:rPr>
          <w:rFonts w:ascii="Times New Roman" w:eastAsia="Times New Roman" w:hAnsi="Times New Roman" w:cs="Microsoft Himalaya"/>
          <w:noProof/>
          <w:snapToGrid w:val="0"/>
          <w:sz w:val="24"/>
          <w:szCs w:val="24"/>
        </w:rPr>
        <w:t>nın ilgili hükmüne aykırı olduğunu tespit etmemiştir. Bu nedenle Mahkeme, Sözleşme'nin 5.</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maddesinin 3.</w:t>
      </w:r>
      <w:r w:rsidR="00350CA9">
        <w:rPr>
          <w:rFonts w:ascii="Times New Roman" w:eastAsia="Times New Roman" w:hAnsi="Times New Roman" w:cs="Microsoft Himalaya"/>
          <w:noProof/>
          <w:snapToGrid w:val="0"/>
          <w:sz w:val="24"/>
          <w:szCs w:val="24"/>
        </w:rPr>
        <w:t xml:space="preserve"> </w:t>
      </w:r>
      <w:r w:rsidRPr="003D5488">
        <w:rPr>
          <w:rFonts w:ascii="Times New Roman" w:eastAsia="Times New Roman" w:hAnsi="Times New Roman" w:cs="Microsoft Himalaya"/>
          <w:noProof/>
          <w:snapToGrid w:val="0"/>
          <w:sz w:val="24"/>
          <w:szCs w:val="24"/>
        </w:rPr>
        <w:t xml:space="preserve">fıkrası tarafından korunan hakkın ihlal edildiği iddiasının Anayasa Mahkemesi tarafından kabul edilmediği sonucuna varmıştır. Bu bağlamda, Mahkeme, tutuklu kişinin bir suç işlediğine dair makul şüphenin sürmesine ek olarak, tutuklama emrini veren ilk karar sırasında, yani tutuklamadan “hemen” sonra </w:t>
      </w:r>
      <w:r w:rsidR="00DA1D16">
        <w:rPr>
          <w:rFonts w:ascii="Times New Roman" w:eastAsia="Times New Roman" w:hAnsi="Times New Roman" w:cs="Microsoft Himalaya"/>
          <w:noProof/>
          <w:snapToGrid w:val="0"/>
          <w:sz w:val="24"/>
          <w:szCs w:val="24"/>
        </w:rPr>
        <w:t>hâkim</w:t>
      </w:r>
      <w:r w:rsidRPr="003D5488">
        <w:rPr>
          <w:rFonts w:ascii="Times New Roman" w:eastAsia="Times New Roman" w:hAnsi="Times New Roman" w:cs="Microsoft Himalaya"/>
          <w:noProof/>
          <w:snapToGrid w:val="0"/>
          <w:sz w:val="24"/>
          <w:szCs w:val="24"/>
        </w:rPr>
        <w:t xml:space="preserve">in tutuklama için ilgili ve yeterli gerekçeler sunması gerekliliğinin halihazırda geçerli olduğuna dair içtihadını yinelemektedir (bakınız yukarıda anılan </w:t>
      </w:r>
      <w:r w:rsidRPr="003D5488">
        <w:rPr>
          <w:rFonts w:ascii="Times New Roman" w:eastAsia="Times New Roman" w:hAnsi="Times New Roman" w:cs="Microsoft Himalaya"/>
          <w:i/>
          <w:iCs/>
          <w:noProof/>
          <w:snapToGrid w:val="0"/>
          <w:sz w:val="24"/>
          <w:szCs w:val="24"/>
        </w:rPr>
        <w:t>Buzadji</w:t>
      </w:r>
      <w:r w:rsidR="004B079C" w:rsidRPr="003D5488">
        <w:rPr>
          <w:rFonts w:ascii="Times New Roman" w:eastAsia="Times New Roman" w:hAnsi="Times New Roman" w:cs="Microsoft Himalaya"/>
          <w:noProof/>
          <w:snapToGrid w:val="0"/>
          <w:sz w:val="24"/>
          <w:szCs w:val="24"/>
        </w:rPr>
        <w:t>, § 102).</w:t>
      </w:r>
    </w:p>
    <w:bookmarkStart w:id="33" w:name="optionAqualitedevictimefin"/>
    <w:p w:rsidR="005D4D22" w:rsidRPr="003D5488" w:rsidRDefault="00152D9D" w:rsidP="004B079C">
      <w:pPr>
        <w:spacing w:after="0" w:line="240" w:lineRule="auto"/>
        <w:ind w:firstLine="284"/>
        <w:jc w:val="both"/>
        <w:rPr>
          <w:rFonts w:ascii="Times New Roman" w:eastAsia="Times New Roman" w:hAnsi="Times New Roman" w:cs="Microsoft Himalaya"/>
          <w:noProof/>
          <w:sz w:val="24"/>
          <w:szCs w:val="24"/>
        </w:rPr>
      </w:pPr>
      <w:r w:rsidRPr="003D5488">
        <w:rPr>
          <w:rFonts w:ascii="Times New Roman" w:eastAsia="Times New Roman" w:hAnsi="Times New Roman" w:cs="Microsoft Himalaya"/>
          <w:noProof/>
          <w:sz w:val="24"/>
          <w:szCs w:val="24"/>
        </w:rPr>
        <w:fldChar w:fldCharType="begin"/>
      </w:r>
      <w:r w:rsidRPr="003D5488">
        <w:rPr>
          <w:rFonts w:ascii="Times New Roman" w:eastAsia="Times New Roman" w:hAnsi="Times New Roman" w:cs="Microsoft Himalaya"/>
          <w:noProof/>
          <w:sz w:val="24"/>
          <w:szCs w:val="24"/>
        </w:rPr>
        <w:instrText xml:space="preserve"> SEQ level0 \*arabic </w:instrText>
      </w:r>
      <w:r w:rsidRPr="003D5488">
        <w:rPr>
          <w:rFonts w:ascii="Times New Roman" w:eastAsia="Times New Roman" w:hAnsi="Times New Roman" w:cs="Microsoft Himalaya"/>
          <w:noProof/>
          <w:sz w:val="24"/>
          <w:szCs w:val="24"/>
        </w:rPr>
        <w:fldChar w:fldCharType="separate"/>
      </w:r>
      <w:r w:rsidR="001302A1">
        <w:rPr>
          <w:rFonts w:ascii="Times New Roman" w:eastAsia="Times New Roman" w:hAnsi="Times New Roman" w:cs="Microsoft Himalaya"/>
          <w:noProof/>
          <w:sz w:val="24"/>
          <w:szCs w:val="24"/>
        </w:rPr>
        <w:t>36</w:t>
      </w:r>
      <w:r w:rsidRPr="003D5488">
        <w:rPr>
          <w:rFonts w:ascii="Times New Roman" w:eastAsia="Times New Roman" w:hAnsi="Times New Roman" w:cs="Microsoft Himalaya"/>
          <w:noProof/>
          <w:sz w:val="24"/>
          <w:szCs w:val="24"/>
        </w:rPr>
        <w:fldChar w:fldCharType="end"/>
      </w:r>
      <w:bookmarkEnd w:id="33"/>
      <w:r w:rsidRPr="003D5488">
        <w:rPr>
          <w:rFonts w:ascii="Times New Roman" w:eastAsia="Times New Roman" w:hAnsi="Times New Roman" w:cs="Microsoft Himalaya"/>
          <w:noProof/>
          <w:sz w:val="24"/>
          <w:szCs w:val="24"/>
        </w:rPr>
        <w:t>.  </w:t>
      </w:r>
      <w:r w:rsidRPr="003D5488">
        <w:rPr>
          <w:rFonts w:ascii="Times New Roman" w:eastAsia="Times New Roman" w:hAnsi="Times New Roman" w:cs="Times New Roman"/>
          <w:noProof/>
          <w:sz w:val="24"/>
          <w:szCs w:val="24"/>
        </w:rPr>
        <w:t xml:space="preserve">Yukarıdakileri göz önünde bulundurarak, Mahkeme önündeki </w:t>
      </w:r>
      <w:r w:rsidR="007E3DD1" w:rsidRPr="003D5488">
        <w:rPr>
          <w:rFonts w:ascii="Times New Roman" w:eastAsia="Times New Roman" w:hAnsi="Times New Roman" w:cs="Times New Roman"/>
          <w:noProof/>
          <w:sz w:val="24"/>
          <w:szCs w:val="24"/>
        </w:rPr>
        <w:t>şikâyet</w:t>
      </w:r>
      <w:r w:rsidRPr="003D5488">
        <w:rPr>
          <w:rFonts w:ascii="Times New Roman" w:eastAsia="Times New Roman" w:hAnsi="Times New Roman" w:cs="Times New Roman"/>
          <w:noProof/>
          <w:sz w:val="24"/>
          <w:szCs w:val="24"/>
        </w:rPr>
        <w:t>inin, ilk ve devam eden tutukluluğuna ilişkin kararların, özgürlüğünden ilk kez mahrum bırakıldığı andan itibaren Sözleşme'ye aykırı olması dolayısıyla, Anayasa Mahkemesi</w:t>
      </w:r>
      <w:r w:rsidR="00350CA9">
        <w:rPr>
          <w:rFonts w:ascii="Times New Roman" w:eastAsia="Times New Roman" w:hAnsi="Times New Roman" w:cs="Times New Roman"/>
          <w:noProof/>
          <w:sz w:val="24"/>
          <w:szCs w:val="24"/>
        </w:rPr>
        <w:t>’</w:t>
      </w:r>
      <w:r w:rsidRPr="003D5488">
        <w:rPr>
          <w:rFonts w:ascii="Times New Roman" w:eastAsia="Times New Roman" w:hAnsi="Times New Roman" w:cs="Times New Roman"/>
          <w:noProof/>
          <w:sz w:val="24"/>
          <w:szCs w:val="24"/>
        </w:rPr>
        <w:t>nin 9 Haziran 2020 tarihinde verdiği karara bakılmaksızın, başvurucu ayrıca Sözleşme'nin 5.</w:t>
      </w:r>
      <w:r w:rsidR="00350CA9">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maddesinin 3.</w:t>
      </w:r>
      <w:r w:rsidR="00350CA9">
        <w:rPr>
          <w:rFonts w:ascii="Times New Roman" w:eastAsia="Times New Roman" w:hAnsi="Times New Roman" w:cs="Times New Roman"/>
          <w:noProof/>
          <w:sz w:val="24"/>
          <w:szCs w:val="24"/>
        </w:rPr>
        <w:t xml:space="preserve"> </w:t>
      </w:r>
      <w:r w:rsidRPr="003D5488">
        <w:rPr>
          <w:rFonts w:ascii="Times New Roman" w:eastAsia="Times New Roman" w:hAnsi="Times New Roman" w:cs="Times New Roman"/>
          <w:noProof/>
          <w:sz w:val="24"/>
          <w:szCs w:val="24"/>
        </w:rPr>
        <w:t>fıkrası ihlalinin mağduru olduğunu iddia edebilir.</w:t>
      </w:r>
    </w:p>
    <w:p w:rsidR="004B079C" w:rsidRPr="003D5488" w:rsidRDefault="004B079C" w:rsidP="004B079C">
      <w:pPr>
        <w:spacing w:after="0" w:line="240" w:lineRule="auto"/>
        <w:ind w:firstLine="284"/>
        <w:jc w:val="both"/>
        <w:rPr>
          <w:rFonts w:ascii="Times New Roman" w:eastAsia="Times New Roman" w:hAnsi="Times New Roman" w:cs="Microsoft Himalaya"/>
          <w:noProof/>
          <w:sz w:val="24"/>
          <w:szCs w:val="24"/>
        </w:rPr>
      </w:pPr>
    </w:p>
    <w:p w:rsidR="002C4924" w:rsidRPr="003D5488" w:rsidRDefault="002C4924" w:rsidP="005D4D22">
      <w:pPr>
        <w:pStyle w:val="Balk1"/>
        <w:rPr>
          <w:color w:val="auto"/>
        </w:rPr>
      </w:pPr>
      <w:r w:rsidRPr="003D5488">
        <w:rPr>
          <w:color w:val="auto"/>
        </w:rPr>
        <w:t>SÖZLEŞME’NİN 10. MADDESİNİN İHLAL EDİLDİĞİ İDDİASI</w:t>
      </w:r>
    </w:p>
    <w:p w:rsidR="00BA3D28" w:rsidRPr="003D5488" w:rsidRDefault="00BA3D28" w:rsidP="00724F6F">
      <w:pPr>
        <w:pStyle w:val="Balk2"/>
        <w:numPr>
          <w:ilvl w:val="3"/>
          <w:numId w:val="10"/>
        </w:numPr>
        <w:ind w:left="990" w:hanging="450"/>
        <w:rPr>
          <w:color w:val="auto"/>
        </w:rPr>
      </w:pPr>
      <w:r w:rsidRPr="003D5488">
        <w:rPr>
          <w:color w:val="auto"/>
        </w:rPr>
        <w:t>Kabul edilebilirlik</w:t>
      </w:r>
    </w:p>
    <w:p w:rsidR="00BA3D28" w:rsidRPr="003D5488" w:rsidRDefault="00BA3D28" w:rsidP="00BA3D28">
      <w:pPr>
        <w:pStyle w:val="Balk2"/>
        <w:numPr>
          <w:ilvl w:val="0"/>
          <w:numId w:val="0"/>
        </w:numPr>
        <w:ind w:left="1350"/>
        <w:rPr>
          <w:color w:val="auto"/>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240.  Mağdur statüsünün olmaması temelindeki kabul edilmezlik itirazıyla (bakınız aşağıda 230. paragraf) ilgili olarak Mahkeme, söz konusu itirazın başvurucunun şikâyetlerinin esasıyla yakından bağlantılı konular içerdiği görüşündedir. Mahkeme, bu sebeple söz konusu sorunu esas değerlendirmesi bağlamında analiz edecektir (bakınız </w:t>
      </w:r>
      <w:r w:rsidRPr="003D5488">
        <w:rPr>
          <w:rFonts w:ascii="Times New Roman" w:eastAsia="Times New Roman" w:hAnsi="Times New Roman" w:cs="Times New Roman"/>
          <w:i/>
          <w:iCs/>
          <w:sz w:val="24"/>
          <w:szCs w:val="24"/>
          <w:lang w:eastAsia="tr-TR"/>
        </w:rPr>
        <w:t>Mehmet Hasan Altan</w:t>
      </w:r>
      <w:r w:rsidRPr="003D5488">
        <w:rPr>
          <w:rFonts w:ascii="Times New Roman" w:eastAsia="Times New Roman" w:hAnsi="Times New Roman" w:cs="Times New Roman"/>
          <w:sz w:val="24"/>
          <w:szCs w:val="24"/>
          <w:lang w:eastAsia="tr-TR"/>
        </w:rPr>
        <w:t xml:space="preserve">, yukarıda anılan, § 194 ve </w:t>
      </w:r>
      <w:r w:rsidRPr="003D5488">
        <w:rPr>
          <w:rFonts w:ascii="Times New Roman" w:eastAsia="Times New Roman" w:hAnsi="Times New Roman" w:cs="Times New Roman"/>
          <w:i/>
          <w:iCs/>
          <w:sz w:val="24"/>
          <w:szCs w:val="24"/>
          <w:lang w:eastAsia="tr-TR"/>
        </w:rPr>
        <w:t>Şahin Alpay</w:t>
      </w:r>
      <w:r w:rsidRPr="003D5488">
        <w:rPr>
          <w:rFonts w:ascii="Times New Roman" w:eastAsia="Times New Roman" w:hAnsi="Times New Roman" w:cs="Times New Roman"/>
          <w:sz w:val="24"/>
          <w:szCs w:val="24"/>
          <w:lang w:eastAsia="tr-TR"/>
        </w:rPr>
        <w:t>, yukarıda anılan, § 164).</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241.  Mahkeme ek olarak bu şikâyetin, Sözleşme’nin 35. maddesinin 3. fıkrasının a bendi kapsamında açıkça dayanaktan yoksun olmadığını ve başka diğer sebeplerden kabul edilemez olmadığını tespit etmiştir. Bu sebeplerle şikâyetin kabul edilebilir olduğu ilan edilmelidir.</w:t>
      </w:r>
    </w:p>
    <w:p w:rsidR="00BA3D28" w:rsidRPr="003D5488" w:rsidRDefault="00BA3D28" w:rsidP="00BA3D28">
      <w:pPr>
        <w:shd w:val="clear" w:color="auto" w:fill="FFFFFF"/>
        <w:spacing w:after="0" w:line="276" w:lineRule="auto"/>
        <w:jc w:val="both"/>
        <w:rPr>
          <w:rFonts w:ascii="Times New Roman" w:eastAsia="Times New Roman" w:hAnsi="Times New Roman" w:cs="Times New Roman"/>
          <w:sz w:val="24"/>
          <w:szCs w:val="24"/>
          <w:lang w:eastAsia="tr-TR"/>
        </w:rPr>
      </w:pPr>
    </w:p>
    <w:p w:rsidR="002C4924" w:rsidRPr="003D5488" w:rsidRDefault="002C4924" w:rsidP="000F355E">
      <w:pPr>
        <w:pStyle w:val="Balk2"/>
        <w:tabs>
          <w:tab w:val="left" w:pos="990"/>
        </w:tabs>
        <w:ind w:left="1080" w:hanging="540"/>
        <w:rPr>
          <w:color w:val="auto"/>
        </w:rPr>
      </w:pPr>
      <w:r w:rsidRPr="003D5488">
        <w:rPr>
          <w:color w:val="auto"/>
        </w:rPr>
        <w:t xml:space="preserve"> Esas</w:t>
      </w:r>
    </w:p>
    <w:p w:rsidR="002C4924" w:rsidRPr="003D5488" w:rsidRDefault="002C4924" w:rsidP="00BA3D28">
      <w:pPr>
        <w:pStyle w:val="Balk2"/>
        <w:numPr>
          <w:ilvl w:val="0"/>
          <w:numId w:val="0"/>
        </w:numPr>
        <w:ind w:left="1350"/>
        <w:rPr>
          <w:color w:val="auto"/>
        </w:rPr>
      </w:pPr>
    </w:p>
    <w:p w:rsidR="002C4924" w:rsidRPr="003D5488" w:rsidRDefault="002C4924" w:rsidP="008273E0">
      <w:pPr>
        <w:pStyle w:val="Balk3"/>
        <w:rPr>
          <w:color w:val="auto"/>
        </w:rPr>
      </w:pPr>
      <w:r w:rsidRPr="003D5488">
        <w:rPr>
          <w:color w:val="auto"/>
        </w:rPr>
        <w:t>Milletvekillerinin ifade özgürlüğü</w:t>
      </w:r>
    </w:p>
    <w:p w:rsidR="008273E0" w:rsidRPr="003D5488" w:rsidRDefault="008273E0" w:rsidP="008273E0">
      <w:pPr>
        <w:pStyle w:val="ListeParagraf"/>
        <w:shd w:val="clear" w:color="auto" w:fill="FFFFFF"/>
        <w:tabs>
          <w:tab w:val="left" w:pos="720"/>
        </w:tabs>
        <w:spacing w:after="0" w:line="276" w:lineRule="auto"/>
        <w:ind w:left="900"/>
        <w:jc w:val="both"/>
        <w:rPr>
          <w:rFonts w:ascii="Times New Roman" w:eastAsia="Times New Roman" w:hAnsi="Times New Roman" w:cs="Times New Roman"/>
          <w:b/>
          <w:szCs w:val="24"/>
          <w:lang w:eastAsia="tr-TR"/>
        </w:rPr>
      </w:pPr>
    </w:p>
    <w:p w:rsidR="002C4924" w:rsidRPr="003D5488" w:rsidRDefault="002C4924" w:rsidP="00BA3D28">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242.  Mahkeme, milletvekillerinin ifade özgürlüğünün taşıdığı önemi içtihadında istikrarlı olarak vurgulamış, siyasal ifadenin taşıdığı büyük </w:t>
      </w:r>
      <w:r w:rsidRPr="003D5488">
        <w:rPr>
          <w:rFonts w:ascii="Times New Roman" w:eastAsia="Times New Roman" w:hAnsi="Times New Roman" w:cs="Times New Roman"/>
          <w:sz w:val="24"/>
          <w:szCs w:val="24"/>
          <w:lang w:eastAsia="tr-TR"/>
        </w:rPr>
        <w:lastRenderedPageBreak/>
        <w:t>önemin (</w:t>
      </w:r>
      <w:r w:rsidRPr="003D5488">
        <w:rPr>
          <w:rFonts w:ascii="Times New Roman" w:eastAsia="Times New Roman" w:hAnsi="Times New Roman" w:cs="Times New Roman"/>
          <w:i/>
          <w:sz w:val="24"/>
          <w:szCs w:val="24"/>
          <w:lang w:eastAsia="tr-TR"/>
        </w:rPr>
        <w:t xml:space="preserve">par </w:t>
      </w:r>
      <w:proofErr w:type="spellStart"/>
      <w:r w:rsidRPr="003D5488">
        <w:rPr>
          <w:rFonts w:ascii="Times New Roman" w:eastAsia="Times New Roman" w:hAnsi="Times New Roman" w:cs="Times New Roman"/>
          <w:i/>
          <w:sz w:val="24"/>
          <w:szCs w:val="24"/>
          <w:lang w:eastAsia="tr-TR"/>
        </w:rPr>
        <w:t>excellence</w:t>
      </w:r>
      <w:proofErr w:type="spellEnd"/>
      <w:r w:rsidRPr="003D5488">
        <w:rPr>
          <w:rFonts w:ascii="Times New Roman" w:eastAsia="Times New Roman" w:hAnsi="Times New Roman" w:cs="Times New Roman"/>
          <w:i/>
          <w:sz w:val="24"/>
          <w:szCs w:val="24"/>
          <w:lang w:eastAsia="tr-TR"/>
        </w:rPr>
        <w:t xml:space="preserve">) </w:t>
      </w:r>
      <w:r w:rsidRPr="003D5488">
        <w:rPr>
          <w:rFonts w:ascii="Times New Roman" w:eastAsia="Times New Roman" w:hAnsi="Times New Roman" w:cs="Times New Roman"/>
          <w:sz w:val="24"/>
          <w:szCs w:val="24"/>
          <w:lang w:eastAsia="tr-TR"/>
        </w:rPr>
        <w:t xml:space="preserve">altını çizmiştir. </w:t>
      </w:r>
      <w:proofErr w:type="spellStart"/>
      <w:r w:rsidRPr="003D5488">
        <w:rPr>
          <w:rFonts w:ascii="Times New Roman" w:eastAsia="Times New Roman" w:hAnsi="Times New Roman" w:cs="Times New Roman"/>
          <w:i/>
          <w:sz w:val="24"/>
          <w:szCs w:val="24"/>
          <w:lang w:eastAsia="tr-TR"/>
        </w:rPr>
        <w:t>Castells</w:t>
      </w:r>
      <w:proofErr w:type="spellEnd"/>
      <w:r w:rsidRPr="003D5488">
        <w:rPr>
          <w:rFonts w:ascii="Times New Roman" w:eastAsia="Times New Roman" w:hAnsi="Times New Roman" w:cs="Times New Roman"/>
          <w:i/>
          <w:sz w:val="24"/>
          <w:szCs w:val="24"/>
          <w:lang w:eastAsia="tr-TR"/>
        </w:rPr>
        <w:t xml:space="preserve"> v. İspanya </w:t>
      </w:r>
      <w:r w:rsidRPr="003D5488">
        <w:rPr>
          <w:rFonts w:ascii="Times New Roman" w:eastAsia="Times New Roman" w:hAnsi="Times New Roman" w:cs="Times New Roman"/>
          <w:sz w:val="24"/>
          <w:szCs w:val="24"/>
          <w:lang w:eastAsia="tr-TR"/>
        </w:rPr>
        <w:t xml:space="preserve">davasında (23 Nisan 1992, § 42, Series A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236), bir gazete yazısında Hükümet’e hakarete ettiği gerekçesiyle mahkûm edilen bir senatörle ilgili olarak</w:t>
      </w:r>
      <w:r w:rsidR="00BA3D28" w:rsidRPr="003D5488">
        <w:rPr>
          <w:rFonts w:ascii="Times New Roman" w:eastAsia="Times New Roman" w:hAnsi="Times New Roman" w:cs="Times New Roman"/>
          <w:sz w:val="24"/>
          <w:szCs w:val="24"/>
          <w:lang w:eastAsia="tr-TR"/>
        </w:rPr>
        <w:t>, Mahkeme şunlara hükmetmiştir:</w:t>
      </w:r>
    </w:p>
    <w:p w:rsidR="002C4924" w:rsidRPr="003D5488" w:rsidRDefault="002C4924" w:rsidP="008273E0">
      <w:pPr>
        <w:shd w:val="clear" w:color="auto" w:fill="FFFFFF"/>
        <w:tabs>
          <w:tab w:val="left" w:pos="360"/>
        </w:tabs>
        <w:spacing w:after="0" w:line="276" w:lineRule="auto"/>
        <w:ind w:left="630" w:firstLine="270"/>
        <w:jc w:val="both"/>
        <w:rPr>
          <w:rFonts w:ascii="Times New Roman" w:eastAsia="Times New Roman" w:hAnsi="Times New Roman" w:cs="Times New Roman"/>
          <w:szCs w:val="24"/>
          <w:lang w:eastAsia="tr-TR"/>
        </w:rPr>
      </w:pPr>
      <w:r w:rsidRPr="003D5488">
        <w:rPr>
          <w:rFonts w:ascii="Times New Roman" w:eastAsia="Times New Roman" w:hAnsi="Times New Roman" w:cs="Times New Roman"/>
          <w:szCs w:val="24"/>
          <w:lang w:eastAsia="tr-TR"/>
        </w:rPr>
        <w:t xml:space="preserve">“Her ne kadar ifade özgürlüğü herkes için önemli olsa da, halkı temsilen seçilmiş kişiler için özel olarak önem taşımaktadır. Başvurucu seçmenini temsil etmekte, onların kaygılarına dikkat çekmekte ve onların menfaatini savunmaktadır. Dolayısıyla, meclisin muhalif bir üyesi olan başvurucunun ifade özgürlüğüne yapılan </w:t>
      </w:r>
      <w:proofErr w:type="gramStart"/>
      <w:r w:rsidRPr="003D5488">
        <w:rPr>
          <w:rFonts w:ascii="Times New Roman" w:eastAsia="Times New Roman" w:hAnsi="Times New Roman" w:cs="Times New Roman"/>
          <w:szCs w:val="24"/>
          <w:lang w:eastAsia="tr-TR"/>
        </w:rPr>
        <w:t>müdahaleler …</w:t>
      </w:r>
      <w:proofErr w:type="gramEnd"/>
      <w:r w:rsidRPr="003D5488">
        <w:rPr>
          <w:rFonts w:ascii="Times New Roman" w:eastAsia="Times New Roman" w:hAnsi="Times New Roman" w:cs="Times New Roman"/>
          <w:szCs w:val="24"/>
          <w:lang w:eastAsia="tr-TR"/>
        </w:rPr>
        <w:t xml:space="preserve"> Mahkeme’nin en sıkı denetimine tabi olmalıdır.</w:t>
      </w:r>
    </w:p>
    <w:p w:rsidR="002C4924" w:rsidRPr="003D5488" w:rsidRDefault="002C4924" w:rsidP="002C4924">
      <w:pPr>
        <w:shd w:val="clear" w:color="auto" w:fill="FFFFFF"/>
        <w:tabs>
          <w:tab w:val="left" w:pos="630"/>
        </w:tabs>
        <w:spacing w:after="0" w:line="276" w:lineRule="auto"/>
        <w:ind w:left="630" w:firstLine="270"/>
        <w:jc w:val="both"/>
        <w:rPr>
          <w:rFonts w:ascii="Times New Roman" w:eastAsia="Times New Roman" w:hAnsi="Times New Roman" w:cs="Times New Roman"/>
          <w:szCs w:val="24"/>
          <w:lang w:eastAsia="tr-TR"/>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243.  Bu ilkeler ulusal ve bölgesel milletvekillerinin ifade özgürlüğüne yapılan müdahalelerle ilgili birçok davada tasdik edilmiştir (bakınız, diğer kararların yanı sıra,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 v. Macaristan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42461/13 ve 44357/13, § 137, 17 Mayıs 2016; </w:t>
      </w:r>
      <w:proofErr w:type="spellStart"/>
      <w:r w:rsidRPr="003D5488">
        <w:rPr>
          <w:rFonts w:ascii="Times New Roman" w:eastAsia="Times New Roman" w:hAnsi="Times New Roman" w:cs="Times New Roman"/>
          <w:i/>
          <w:iCs/>
          <w:sz w:val="24"/>
          <w:szCs w:val="24"/>
          <w:lang w:eastAsia="tr-TR"/>
        </w:rPr>
        <w:t>Jerusalem</w:t>
      </w:r>
      <w:proofErr w:type="spellEnd"/>
      <w:r w:rsidRPr="003D5488">
        <w:rPr>
          <w:rFonts w:ascii="Times New Roman" w:eastAsia="Times New Roman" w:hAnsi="Times New Roman" w:cs="Times New Roman"/>
          <w:i/>
          <w:iCs/>
          <w:sz w:val="24"/>
          <w:szCs w:val="24"/>
          <w:lang w:eastAsia="tr-TR"/>
        </w:rPr>
        <w:t xml:space="preserve"> v. Avusturya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26958/95, § 36, ECHR 2001-II; </w:t>
      </w:r>
      <w:proofErr w:type="spellStart"/>
      <w:r w:rsidRPr="003D5488">
        <w:rPr>
          <w:rFonts w:ascii="Times New Roman" w:eastAsia="Times New Roman" w:hAnsi="Times New Roman" w:cs="Times New Roman"/>
          <w:i/>
          <w:iCs/>
          <w:sz w:val="24"/>
          <w:szCs w:val="24"/>
          <w:lang w:eastAsia="tr-TR"/>
        </w:rPr>
        <w:t>Féret</w:t>
      </w:r>
      <w:proofErr w:type="spellEnd"/>
      <w:r w:rsidRPr="003D5488">
        <w:rPr>
          <w:rFonts w:ascii="Times New Roman" w:eastAsia="Times New Roman" w:hAnsi="Times New Roman" w:cs="Times New Roman"/>
          <w:i/>
          <w:iCs/>
          <w:sz w:val="24"/>
          <w:szCs w:val="24"/>
          <w:lang w:eastAsia="tr-TR"/>
        </w:rPr>
        <w:t xml:space="preserve"> v. Belçika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15615/07,</w:t>
      </w:r>
      <w:r w:rsidRPr="003D5488">
        <w:rPr>
          <w:rFonts w:ascii="Times New Roman" w:eastAsia="Times New Roman" w:hAnsi="Times New Roman" w:cs="Times New Roman"/>
          <w:i/>
          <w:iCs/>
          <w:sz w:val="24"/>
          <w:szCs w:val="24"/>
          <w:lang w:eastAsia="tr-TR"/>
        </w:rPr>
        <w:t xml:space="preserve"> </w:t>
      </w:r>
      <w:r w:rsidRPr="003D5488">
        <w:rPr>
          <w:rFonts w:ascii="Times New Roman" w:eastAsia="Times New Roman" w:hAnsi="Times New Roman" w:cs="Times New Roman"/>
          <w:sz w:val="24"/>
          <w:szCs w:val="24"/>
          <w:lang w:eastAsia="tr-TR"/>
        </w:rPr>
        <w:t xml:space="preserve">§ 65, 16 Temmuz </w:t>
      </w:r>
      <w:proofErr w:type="gramStart"/>
      <w:r w:rsidRPr="003D5488">
        <w:rPr>
          <w:rFonts w:ascii="Times New Roman" w:eastAsia="Times New Roman" w:hAnsi="Times New Roman" w:cs="Times New Roman"/>
          <w:sz w:val="24"/>
          <w:szCs w:val="24"/>
          <w:lang w:eastAsia="tr-TR"/>
        </w:rPr>
        <w:t>2009;</w:t>
      </w:r>
      <w:proofErr w:type="gramEnd"/>
      <w:r w:rsidRPr="003D5488">
        <w:rPr>
          <w:rFonts w:ascii="Times New Roman" w:eastAsia="Times New Roman" w:hAnsi="Times New Roman" w:cs="Times New Roman"/>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Otegi</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Mondragon</w:t>
      </w:r>
      <w:proofErr w:type="spellEnd"/>
      <w:r w:rsidRPr="003D5488">
        <w:rPr>
          <w:rFonts w:ascii="Times New Roman" w:eastAsia="Times New Roman" w:hAnsi="Times New Roman" w:cs="Times New Roman"/>
          <w:i/>
          <w:iCs/>
          <w:sz w:val="24"/>
          <w:szCs w:val="24"/>
          <w:lang w:eastAsia="tr-TR"/>
        </w:rPr>
        <w:t xml:space="preserve"> v. İspanya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2034/07, § 50, ECHR</w:t>
      </w:r>
      <w:r w:rsidRPr="003D5488">
        <w:rPr>
          <w:rFonts w:ascii="Times New Roman" w:eastAsia="Times New Roman" w:hAnsi="Times New Roman" w:cs="Times New Roman"/>
          <w:i/>
          <w:iCs/>
          <w:sz w:val="24"/>
          <w:szCs w:val="24"/>
          <w:lang w:eastAsia="tr-TR"/>
        </w:rPr>
        <w:t xml:space="preserve"> </w:t>
      </w:r>
      <w:r w:rsidRPr="003D5488">
        <w:rPr>
          <w:rFonts w:ascii="Times New Roman" w:eastAsia="Times New Roman" w:hAnsi="Times New Roman" w:cs="Times New Roman"/>
          <w:sz w:val="24"/>
          <w:szCs w:val="24"/>
          <w:lang w:eastAsia="tr-TR"/>
        </w:rPr>
        <w:t xml:space="preserve">2011). Bu durum ayrıca, yasama dokunulmazlığının kullanılmasından kaynaklı olarak mahkemeye erişim hakkının kısıtlanmasına ilişkin bir dizi davada da gündeme gelmiştir (bakınız </w:t>
      </w:r>
      <w:r w:rsidRPr="003D5488">
        <w:rPr>
          <w:rFonts w:ascii="Times New Roman" w:eastAsia="Times New Roman" w:hAnsi="Times New Roman" w:cs="Times New Roman"/>
          <w:i/>
          <w:iCs/>
          <w:sz w:val="24"/>
          <w:szCs w:val="24"/>
          <w:lang w:eastAsia="tr-TR"/>
        </w:rPr>
        <w:t>A. v. Birleşik Krallık</w:t>
      </w:r>
      <w:r w:rsidRPr="003D5488">
        <w:rPr>
          <w:rFonts w:ascii="Times New Roman" w:eastAsia="Times New Roman" w:hAnsi="Times New Roman" w:cs="Times New Roman"/>
          <w:sz w:val="24"/>
          <w:szCs w:val="24"/>
          <w:lang w:eastAsia="tr-TR"/>
        </w:rPr>
        <w:t xml:space="preserve">, yukarıda anılan, § 79; </w:t>
      </w:r>
      <w:proofErr w:type="spellStart"/>
      <w:r w:rsidRPr="003D5488">
        <w:rPr>
          <w:rFonts w:ascii="Times New Roman" w:eastAsia="Times New Roman" w:hAnsi="Times New Roman" w:cs="Times New Roman"/>
          <w:i/>
          <w:iCs/>
          <w:sz w:val="24"/>
          <w:szCs w:val="24"/>
          <w:lang w:eastAsia="tr-TR"/>
        </w:rPr>
        <w:t>Cordova</w:t>
      </w:r>
      <w:proofErr w:type="spellEnd"/>
      <w:r w:rsidRPr="003D5488">
        <w:rPr>
          <w:rFonts w:ascii="Times New Roman" w:eastAsia="Times New Roman" w:hAnsi="Times New Roman" w:cs="Times New Roman"/>
          <w:i/>
          <w:iCs/>
          <w:sz w:val="24"/>
          <w:szCs w:val="24"/>
          <w:lang w:eastAsia="tr-TR"/>
        </w:rPr>
        <w:t xml:space="preserve"> v. İtalya (</w:t>
      </w:r>
      <w:proofErr w:type="spellStart"/>
      <w:r w:rsidRPr="003D5488">
        <w:rPr>
          <w:rFonts w:ascii="Times New Roman" w:eastAsia="Times New Roman" w:hAnsi="Times New Roman" w:cs="Times New Roman"/>
          <w:i/>
          <w:iCs/>
          <w:sz w:val="24"/>
          <w:szCs w:val="24"/>
          <w:lang w:eastAsia="tr-TR"/>
        </w:rPr>
        <w:t>no</w:t>
      </w:r>
      <w:proofErr w:type="spellEnd"/>
      <w:r w:rsidRPr="003D5488">
        <w:rPr>
          <w:rFonts w:ascii="Times New Roman" w:eastAsia="Times New Roman" w:hAnsi="Times New Roman" w:cs="Times New Roman"/>
          <w:i/>
          <w:iCs/>
          <w:sz w:val="24"/>
          <w:szCs w:val="24"/>
          <w:lang w:eastAsia="tr-TR"/>
        </w:rPr>
        <w:t>. 1)</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40877/98, § 59, ECHR 2003-I; </w:t>
      </w:r>
      <w:proofErr w:type="spellStart"/>
      <w:r w:rsidRPr="003D5488">
        <w:rPr>
          <w:rFonts w:ascii="Times New Roman" w:eastAsia="Times New Roman" w:hAnsi="Times New Roman" w:cs="Times New Roman"/>
          <w:i/>
          <w:iCs/>
          <w:sz w:val="24"/>
          <w:szCs w:val="24"/>
          <w:lang w:eastAsia="tr-TR"/>
        </w:rPr>
        <w:t>Cordova</w:t>
      </w:r>
      <w:proofErr w:type="spellEnd"/>
      <w:r w:rsidRPr="003D5488">
        <w:rPr>
          <w:rFonts w:ascii="Times New Roman" w:eastAsia="Times New Roman" w:hAnsi="Times New Roman" w:cs="Times New Roman"/>
          <w:i/>
          <w:iCs/>
          <w:sz w:val="24"/>
          <w:szCs w:val="24"/>
          <w:lang w:eastAsia="tr-TR"/>
        </w:rPr>
        <w:t xml:space="preserve"> v. İtalya (</w:t>
      </w:r>
      <w:proofErr w:type="spellStart"/>
      <w:r w:rsidRPr="003D5488">
        <w:rPr>
          <w:rFonts w:ascii="Times New Roman" w:eastAsia="Times New Roman" w:hAnsi="Times New Roman" w:cs="Times New Roman"/>
          <w:i/>
          <w:iCs/>
          <w:sz w:val="24"/>
          <w:szCs w:val="24"/>
          <w:lang w:eastAsia="tr-TR"/>
        </w:rPr>
        <w:t>no</w:t>
      </w:r>
      <w:proofErr w:type="spellEnd"/>
      <w:r w:rsidRPr="003D5488">
        <w:rPr>
          <w:rFonts w:ascii="Times New Roman" w:eastAsia="Times New Roman" w:hAnsi="Times New Roman" w:cs="Times New Roman"/>
          <w:i/>
          <w:iCs/>
          <w:sz w:val="24"/>
          <w:szCs w:val="24"/>
          <w:lang w:eastAsia="tr-TR"/>
        </w:rPr>
        <w:t>. 2)</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45649/99, § 60, ECHR 2003-I; </w:t>
      </w:r>
      <w:proofErr w:type="spellStart"/>
      <w:r w:rsidRPr="003D5488">
        <w:rPr>
          <w:rFonts w:ascii="Times New Roman" w:eastAsia="Times New Roman" w:hAnsi="Times New Roman" w:cs="Times New Roman"/>
          <w:i/>
          <w:iCs/>
          <w:sz w:val="24"/>
          <w:szCs w:val="24"/>
          <w:lang w:eastAsia="tr-TR"/>
        </w:rPr>
        <w:t>Zollmann</w:t>
      </w:r>
      <w:proofErr w:type="spellEnd"/>
      <w:r w:rsidRPr="003D5488">
        <w:rPr>
          <w:rFonts w:ascii="Times New Roman" w:eastAsia="Times New Roman" w:hAnsi="Times New Roman" w:cs="Times New Roman"/>
          <w:i/>
          <w:iCs/>
          <w:sz w:val="24"/>
          <w:szCs w:val="24"/>
          <w:lang w:eastAsia="tr-TR"/>
        </w:rPr>
        <w:t xml:space="preserve"> v. Birleşik Krallık </w:t>
      </w:r>
      <w:r w:rsidR="008224C0" w:rsidRPr="003D5488">
        <w:rPr>
          <w:rFonts w:ascii="Times New Roman" w:eastAsia="Times New Roman" w:hAnsi="Times New Roman" w:cs="Times New Roman"/>
          <w:sz w:val="24"/>
          <w:szCs w:val="24"/>
          <w:lang w:eastAsia="tr-TR"/>
        </w:rPr>
        <w:t>((</w:t>
      </w:r>
      <w:proofErr w:type="spellStart"/>
      <w:r w:rsidR="008224C0" w:rsidRPr="003D5488">
        <w:rPr>
          <w:rFonts w:ascii="Times New Roman" w:eastAsia="Times New Roman" w:hAnsi="Times New Roman" w:cs="Times New Roman"/>
          <w:sz w:val="24"/>
          <w:szCs w:val="24"/>
          <w:lang w:eastAsia="tr-TR"/>
        </w:rPr>
        <w:t>dec</w:t>
      </w:r>
      <w:proofErr w:type="spellEnd"/>
      <w:r w:rsidR="008224C0" w:rsidRPr="003D5488">
        <w:rPr>
          <w:rFonts w:ascii="Times New Roman" w:eastAsia="Times New Roman" w:hAnsi="Times New Roman" w:cs="Times New Roman"/>
          <w:sz w:val="24"/>
          <w:szCs w:val="24"/>
          <w:lang w:eastAsia="tr-TR"/>
        </w:rPr>
        <w:t>.)</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62902/00, ECHR 2003-XII; </w:t>
      </w:r>
      <w:r w:rsidRPr="003D5488">
        <w:rPr>
          <w:rFonts w:ascii="Times New Roman" w:eastAsia="Times New Roman" w:hAnsi="Times New Roman" w:cs="Times New Roman"/>
          <w:i/>
          <w:iCs/>
          <w:sz w:val="24"/>
          <w:szCs w:val="24"/>
          <w:lang w:eastAsia="tr-TR"/>
        </w:rPr>
        <w:t xml:space="preserve">De </w:t>
      </w:r>
      <w:proofErr w:type="spellStart"/>
      <w:r w:rsidRPr="003D5488">
        <w:rPr>
          <w:rFonts w:ascii="Times New Roman" w:eastAsia="Times New Roman" w:hAnsi="Times New Roman" w:cs="Times New Roman"/>
          <w:i/>
          <w:iCs/>
          <w:sz w:val="24"/>
          <w:szCs w:val="24"/>
          <w:lang w:eastAsia="tr-TR"/>
        </w:rPr>
        <w:t>Jorio</w:t>
      </w:r>
      <w:proofErr w:type="spellEnd"/>
      <w:r w:rsidRPr="003D5488">
        <w:rPr>
          <w:rFonts w:ascii="Times New Roman" w:eastAsia="Times New Roman" w:hAnsi="Times New Roman" w:cs="Times New Roman"/>
          <w:i/>
          <w:iCs/>
          <w:sz w:val="24"/>
          <w:szCs w:val="24"/>
          <w:lang w:eastAsia="tr-TR"/>
        </w:rPr>
        <w:t xml:space="preserve"> v. İtalya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73936/01, § 52, 3 Haziran 2004; </w:t>
      </w:r>
      <w:proofErr w:type="spellStart"/>
      <w:r w:rsidRPr="003D5488">
        <w:rPr>
          <w:rFonts w:ascii="Times New Roman" w:eastAsia="Times New Roman" w:hAnsi="Times New Roman" w:cs="Times New Roman"/>
          <w:i/>
          <w:iCs/>
          <w:sz w:val="24"/>
          <w:szCs w:val="24"/>
          <w:lang w:eastAsia="tr-TR"/>
        </w:rPr>
        <w:t>Patrono</w:t>
      </w:r>
      <w:proofErr w:type="spellEnd"/>
      <w:r w:rsidRPr="003D5488">
        <w:rPr>
          <w:rFonts w:ascii="Times New Roman" w:eastAsia="Times New Roman" w:hAnsi="Times New Roman" w:cs="Times New Roman"/>
          <w:i/>
          <w:iCs/>
          <w:sz w:val="24"/>
          <w:szCs w:val="24"/>
          <w:lang w:eastAsia="tr-TR"/>
        </w:rPr>
        <w:t>,</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Cascini</w:t>
      </w:r>
      <w:proofErr w:type="spellEnd"/>
      <w:r w:rsidRPr="003D5488">
        <w:rPr>
          <w:rFonts w:ascii="Times New Roman" w:eastAsia="Times New Roman" w:hAnsi="Times New Roman" w:cs="Times New Roman"/>
          <w:i/>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Stefanelli</w:t>
      </w:r>
      <w:proofErr w:type="spellEnd"/>
      <w:r w:rsidRPr="003D5488">
        <w:rPr>
          <w:rFonts w:ascii="Times New Roman" w:eastAsia="Times New Roman" w:hAnsi="Times New Roman" w:cs="Times New Roman"/>
          <w:i/>
          <w:iCs/>
          <w:sz w:val="24"/>
          <w:szCs w:val="24"/>
          <w:lang w:eastAsia="tr-TR"/>
        </w:rPr>
        <w:t xml:space="preserve"> v. İtalya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10180/04, § 61, 20 Nisan 2006; ve </w:t>
      </w:r>
      <w:r w:rsidRPr="003D5488">
        <w:rPr>
          <w:rFonts w:ascii="Times New Roman" w:eastAsia="Times New Roman" w:hAnsi="Times New Roman" w:cs="Times New Roman"/>
          <w:i/>
          <w:iCs/>
          <w:sz w:val="24"/>
          <w:szCs w:val="24"/>
          <w:lang w:eastAsia="tr-TR"/>
        </w:rPr>
        <w:t>C.</w:t>
      </w:r>
      <w:proofErr w:type="gramStart"/>
      <w:r w:rsidRPr="003D5488">
        <w:rPr>
          <w:rFonts w:ascii="Times New Roman" w:eastAsia="Times New Roman" w:hAnsi="Times New Roman" w:cs="Times New Roman"/>
          <w:i/>
          <w:iCs/>
          <w:sz w:val="24"/>
          <w:szCs w:val="24"/>
          <w:lang w:eastAsia="tr-TR"/>
        </w:rPr>
        <w:t>G.I.L.</w:t>
      </w:r>
      <w:proofErr w:type="gramEnd"/>
      <w:r w:rsidRPr="003D5488">
        <w:rPr>
          <w:rFonts w:ascii="Times New Roman" w:eastAsia="Times New Roman" w:hAnsi="Times New Roman" w:cs="Times New Roman"/>
          <w:i/>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Cofferati</w:t>
      </w:r>
      <w:proofErr w:type="spellEnd"/>
      <w:r w:rsidRPr="003D5488">
        <w:rPr>
          <w:rFonts w:ascii="Times New Roman" w:eastAsia="Times New Roman" w:hAnsi="Times New Roman" w:cs="Times New Roman"/>
          <w:i/>
          <w:iCs/>
          <w:sz w:val="24"/>
          <w:szCs w:val="24"/>
          <w:lang w:eastAsia="tr-TR"/>
        </w:rPr>
        <w:t xml:space="preserve"> v. İtalya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46967/07, § 71, 24 Şubat 2009).</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244. Bu bakımdan, meclis konuşmalarının daha yüksek bir korumadan faydalanacağı hususunda şüphe bulunmamaktadır (bakınız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w:t>
      </w:r>
      <w:r w:rsidRPr="003D5488">
        <w:rPr>
          <w:rFonts w:ascii="Times New Roman" w:eastAsia="Times New Roman" w:hAnsi="Times New Roman" w:cs="Times New Roman"/>
          <w:sz w:val="24"/>
          <w:szCs w:val="24"/>
          <w:lang w:eastAsia="tr-TR"/>
        </w:rPr>
        <w:t>, yukarıda anılan, § 138). Özellikle yasama dokunulmazlığı kuralı bu en yüksek seviyedeki korumayı doğrular nitelikte olup, özel olarak meclis muhalefetini korumaktadır. Mahkeme, meclisteki azınlığın çoğunluk tarafından suiistimal edilmekten korunmasına özel bir önem atfetmektedir (</w:t>
      </w:r>
      <w:proofErr w:type="spellStart"/>
      <w:r w:rsidRPr="003D5488">
        <w:rPr>
          <w:rFonts w:ascii="Times New Roman" w:eastAsia="Times New Roman" w:hAnsi="Times New Roman" w:cs="Times New Roman"/>
          <w:sz w:val="24"/>
          <w:szCs w:val="24"/>
          <w:lang w:eastAsia="tr-TR"/>
        </w:rPr>
        <w:t>ibid</w:t>
      </w:r>
      <w:proofErr w:type="spellEnd"/>
      <w:proofErr w:type="gramStart"/>
      <w:r w:rsidRPr="003D5488">
        <w:rPr>
          <w:rFonts w:ascii="Times New Roman" w:eastAsia="Times New Roman" w:hAnsi="Times New Roman" w:cs="Times New Roman"/>
          <w:sz w:val="24"/>
          <w:szCs w:val="24"/>
          <w:lang w:eastAsia="tr-TR"/>
        </w:rPr>
        <w:t>.,</w:t>
      </w:r>
      <w:proofErr w:type="gramEnd"/>
      <w:r w:rsidRPr="003D5488">
        <w:rPr>
          <w:rFonts w:ascii="Times New Roman" w:eastAsia="Times New Roman" w:hAnsi="Times New Roman" w:cs="Times New Roman"/>
          <w:sz w:val="24"/>
          <w:szCs w:val="24"/>
          <w:lang w:eastAsia="tr-TR"/>
        </w:rPr>
        <w:t xml:space="preserve"> § 147).</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
          <w:iCs/>
          <w:sz w:val="24"/>
          <w:szCs w:val="24"/>
          <w:lang w:eastAsia="tr-TR"/>
        </w:rPr>
      </w:pPr>
      <w:r w:rsidRPr="003D5488">
        <w:rPr>
          <w:rFonts w:ascii="Times New Roman" w:eastAsia="Times New Roman" w:hAnsi="Times New Roman" w:cs="Times New Roman"/>
          <w:sz w:val="24"/>
          <w:szCs w:val="24"/>
          <w:lang w:eastAsia="tr-TR"/>
        </w:rPr>
        <w:t xml:space="preserve">245. Bununla birlikte, siyasal tartışma özgürlüğü şüphesiz ki yapısı gereği mutlak bir hak değildir (bakınız </w:t>
      </w:r>
      <w:proofErr w:type="spellStart"/>
      <w:r w:rsidRPr="003D5488">
        <w:rPr>
          <w:rFonts w:ascii="Times New Roman" w:eastAsia="Times New Roman" w:hAnsi="Times New Roman" w:cs="Times New Roman"/>
          <w:i/>
          <w:iCs/>
          <w:sz w:val="24"/>
          <w:szCs w:val="24"/>
          <w:lang w:eastAsia="tr-TR"/>
        </w:rPr>
        <w:t>Castells</w:t>
      </w:r>
      <w:proofErr w:type="spellEnd"/>
      <w:r w:rsidRPr="003D5488">
        <w:rPr>
          <w:rFonts w:ascii="Times New Roman" w:eastAsia="Times New Roman" w:hAnsi="Times New Roman" w:cs="Times New Roman"/>
          <w:sz w:val="24"/>
          <w:szCs w:val="24"/>
          <w:lang w:eastAsia="tr-TR"/>
        </w:rPr>
        <w:t xml:space="preserve">, yukarıda anılan, § 46). Mahkeme, doğrudan ya da dolaylı şiddet çağrısının önlenmesi örneğinde olduğu gibi, belirli ifade biçimlerinin önüne geçilmesi için belirli düzenlemelerin gerekli olabileceğini </w:t>
      </w:r>
      <w:proofErr w:type="gramStart"/>
      <w:r w:rsidRPr="003D5488">
        <w:rPr>
          <w:rFonts w:ascii="Times New Roman" w:eastAsia="Times New Roman" w:hAnsi="Times New Roman" w:cs="Times New Roman"/>
          <w:sz w:val="24"/>
          <w:szCs w:val="24"/>
          <w:lang w:eastAsia="tr-TR"/>
        </w:rPr>
        <w:t>halihazırda</w:t>
      </w:r>
      <w:proofErr w:type="gramEnd"/>
      <w:r w:rsidRPr="003D5488">
        <w:rPr>
          <w:rFonts w:ascii="Times New Roman" w:eastAsia="Times New Roman" w:hAnsi="Times New Roman" w:cs="Times New Roman"/>
          <w:sz w:val="24"/>
          <w:szCs w:val="24"/>
          <w:lang w:eastAsia="tr-TR"/>
        </w:rPr>
        <w:t xml:space="preserve"> belirtmiştir (bakınız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w:t>
      </w:r>
      <w:r w:rsidRPr="003D5488">
        <w:rPr>
          <w:rFonts w:ascii="Times New Roman" w:eastAsia="Times New Roman" w:hAnsi="Times New Roman" w:cs="Times New Roman"/>
          <w:sz w:val="24"/>
          <w:szCs w:val="24"/>
          <w:lang w:eastAsia="tr-TR"/>
        </w:rPr>
        <w:t xml:space="preserve">, yukarıda anılan, § 140). Bu ifade özgürlüğünün </w:t>
      </w:r>
      <w:r w:rsidRPr="003D5488">
        <w:rPr>
          <w:rFonts w:ascii="Times New Roman" w:eastAsia="Times New Roman" w:hAnsi="Times New Roman" w:cs="Times New Roman"/>
          <w:sz w:val="24"/>
          <w:szCs w:val="24"/>
          <w:lang w:eastAsia="tr-TR"/>
        </w:rPr>
        <w:lastRenderedPageBreak/>
        <w:t xml:space="preserve">korunaklı kaldığının doğrulanması adına, Mahkeme’nin bu bağlamdaki incelemesi çok daha sıkı olmalıdır (bakınız </w:t>
      </w:r>
      <w:proofErr w:type="spellStart"/>
      <w:r w:rsidRPr="003D5488">
        <w:rPr>
          <w:rFonts w:ascii="Times New Roman" w:eastAsia="Times New Roman" w:hAnsi="Times New Roman" w:cs="Times New Roman"/>
          <w:i/>
          <w:iCs/>
          <w:sz w:val="24"/>
          <w:szCs w:val="24"/>
          <w:lang w:eastAsia="tr-TR"/>
        </w:rPr>
        <w:t>Pastörs</w:t>
      </w:r>
      <w:proofErr w:type="spellEnd"/>
      <w:r w:rsidRPr="003D5488">
        <w:rPr>
          <w:rFonts w:ascii="Times New Roman" w:eastAsia="Times New Roman" w:hAnsi="Times New Roman" w:cs="Times New Roman"/>
          <w:i/>
          <w:iCs/>
          <w:sz w:val="24"/>
          <w:szCs w:val="24"/>
          <w:lang w:eastAsia="tr-TR"/>
        </w:rPr>
        <w:t xml:space="preserve"> v. Almaya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55225/14, § 38, 3 Ekim 2019).</w:t>
      </w:r>
    </w:p>
    <w:p w:rsidR="002C4924" w:rsidRPr="003D5488" w:rsidRDefault="002C4924" w:rsidP="002C4924">
      <w:pPr>
        <w:shd w:val="clear" w:color="auto" w:fill="FFFFFF"/>
        <w:tabs>
          <w:tab w:val="left" w:pos="720"/>
        </w:tabs>
        <w:spacing w:after="0" w:line="276" w:lineRule="auto"/>
        <w:ind w:left="810" w:hanging="270"/>
        <w:jc w:val="both"/>
        <w:rPr>
          <w:rFonts w:ascii="Times New Roman" w:eastAsia="Times New Roman" w:hAnsi="Times New Roman" w:cs="Times New Roman"/>
          <w:b/>
          <w:szCs w:val="24"/>
          <w:lang w:eastAsia="tr-TR"/>
        </w:rPr>
      </w:pPr>
    </w:p>
    <w:p w:rsidR="002C4924" w:rsidRPr="003D5488" w:rsidRDefault="002C4924" w:rsidP="008273E0">
      <w:pPr>
        <w:pStyle w:val="Balk3"/>
        <w:rPr>
          <w:color w:val="auto"/>
        </w:rPr>
      </w:pPr>
      <w:r w:rsidRPr="003D5488">
        <w:rPr>
          <w:color w:val="auto"/>
        </w:rPr>
        <w:t>Ortada bir müdahale olup olmadığı hususu</w:t>
      </w:r>
    </w:p>
    <w:p w:rsidR="002C4924" w:rsidRPr="003D5488" w:rsidRDefault="002C4924" w:rsidP="002C4924">
      <w:pPr>
        <w:shd w:val="clear" w:color="auto" w:fill="FFFFFF"/>
        <w:tabs>
          <w:tab w:val="left" w:pos="720"/>
        </w:tabs>
        <w:spacing w:after="0" w:line="276" w:lineRule="auto"/>
        <w:ind w:left="810" w:hanging="270"/>
        <w:jc w:val="both"/>
        <w:rPr>
          <w:rFonts w:ascii="Times New Roman" w:eastAsia="Times New Roman" w:hAnsi="Times New Roman" w:cs="Times New Roman"/>
          <w:b/>
          <w:szCs w:val="24"/>
          <w:lang w:eastAsia="tr-TR"/>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sz w:val="24"/>
          <w:szCs w:val="24"/>
          <w:lang w:eastAsia="tr-TR"/>
        </w:rPr>
        <w:t xml:space="preserve">246. Mevcut davada, 20 Mayıs 2016 tarihli anayasa değişikliği doğrultusunda, Anayasa’nın 83. maddesinin 2. fıkrasında belirtildiği üzere milletvekili dokunulmazlıklarının kaldırılması yönündeki anayasa değişikliği öncesi Meclis’e yapılan taleplerden etkilenmişlerdir ve bu yöndeki anayasal korumalarını kaybetmişlerdir. </w:t>
      </w:r>
      <w:proofErr w:type="gramStart"/>
      <w:r w:rsidRPr="003D5488">
        <w:rPr>
          <w:rFonts w:ascii="Times New Roman" w:eastAsia="Times New Roman" w:hAnsi="Times New Roman" w:cs="Times New Roman"/>
          <w:sz w:val="24"/>
          <w:szCs w:val="24"/>
          <w:lang w:eastAsia="tr-TR"/>
        </w:rPr>
        <w:t>Anayasa değişiklik gerekçesinde belirtildiği üzere, söz konusu değişiklilerin gündeme getirilmesinin sebebi şu şekilde gösterilmiştir: “</w:t>
      </w:r>
      <w:r w:rsidRPr="003D5488">
        <w:rPr>
          <w:rFonts w:ascii="Times New Roman" w:eastAsia="Times New Roman" w:hAnsi="Times New Roman" w:cs="Times New Roman"/>
          <w:iCs/>
          <w:sz w:val="24"/>
          <w:szCs w:val="24"/>
          <w:lang w:eastAsia="tr-TR"/>
        </w:rPr>
        <w:t xml:space="preserve">Türkiye, tarihinin en büyük ve en kapsamlı, terörle mücadelesini yürütürken, bazı milletvekillerinin seçilmeden önce ya da seçildikten sonra yapmış oldukları teröre manevi ve moral destek manasındaki açıklamaları, bazı milletvekillerinin teröre ve teröristlere fiili manada destek ve yardımları, bazı milletvekillerinin ise şiddet çağrıları “kamuoyunda büyük infial” meydana getirmektedir” (bakınız yukarıda 56. paragraf). </w:t>
      </w:r>
      <w:proofErr w:type="gramEnd"/>
      <w:r w:rsidRPr="003D5488">
        <w:rPr>
          <w:rFonts w:ascii="Times New Roman" w:eastAsia="Times New Roman" w:hAnsi="Times New Roman" w:cs="Times New Roman"/>
          <w:iCs/>
          <w:sz w:val="24"/>
          <w:szCs w:val="24"/>
          <w:lang w:eastAsia="tr-TR"/>
        </w:rPr>
        <w:t xml:space="preserve">Bu sebeple anayasa değişikliği, başvurucu </w:t>
      </w:r>
      <w:r w:rsidR="00DA1D16">
        <w:rPr>
          <w:rFonts w:ascii="Times New Roman" w:eastAsia="Times New Roman" w:hAnsi="Times New Roman" w:cs="Times New Roman"/>
          <w:iCs/>
          <w:sz w:val="24"/>
          <w:szCs w:val="24"/>
          <w:lang w:eastAsia="tr-TR"/>
        </w:rPr>
        <w:t>dâhil</w:t>
      </w:r>
      <w:r w:rsidRPr="003D5488">
        <w:rPr>
          <w:rFonts w:ascii="Times New Roman" w:eastAsia="Times New Roman" w:hAnsi="Times New Roman" w:cs="Times New Roman"/>
          <w:iCs/>
          <w:sz w:val="24"/>
          <w:szCs w:val="24"/>
          <w:lang w:eastAsia="tr-TR"/>
        </w:rPr>
        <w:t xml:space="preserve"> olmak üzere ilgili milletvekillerinin siyasal ifadelerini sınırlandırma amacı taşımaktadır. Değişiklik sonrasında, Diyarbakır Cumhuriyet Başsavcısı, başvurucu hakkındaki otuz bir ayrı soruşturma dosyasını birleştirme kararı almıştır. Ardından başvurucu 4 Kasım 2016 tarihinde tutuklanmıştır. Diyarbakır 2. Sulh Ceza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liği, başvurucu hakkında verdiği tutukluluk kararında temel olarak takip eden delillere dayanmıştır: HDP genel merkez yönetimi adına atılan ve yayımlanan </w:t>
      </w:r>
      <w:proofErr w:type="spellStart"/>
      <w:r w:rsidRPr="003D5488">
        <w:rPr>
          <w:rFonts w:ascii="Times New Roman" w:eastAsia="Times New Roman" w:hAnsi="Times New Roman" w:cs="Times New Roman"/>
          <w:iCs/>
          <w:sz w:val="24"/>
          <w:szCs w:val="24"/>
          <w:lang w:eastAsia="tr-TR"/>
        </w:rPr>
        <w:t>tweetler</w:t>
      </w:r>
      <w:proofErr w:type="spellEnd"/>
      <w:r w:rsidRPr="003D5488">
        <w:rPr>
          <w:rFonts w:ascii="Times New Roman" w:eastAsia="Times New Roman" w:hAnsi="Times New Roman" w:cs="Times New Roman"/>
          <w:iCs/>
          <w:sz w:val="24"/>
          <w:szCs w:val="24"/>
          <w:lang w:eastAsia="tr-TR"/>
        </w:rPr>
        <w:t xml:space="preserve"> ve 6 ila 8 Ekim 2014 tarihleri arasındaki olaylar; başvurucunun, PKK üyelerinin belirli eylemlerini tarif ettiği konuşmaları, örneğin hendeklerin kazılması ve şehirlerde barikatlar kurulmasının “direniş” olarak </w:t>
      </w:r>
      <w:proofErr w:type="gramStart"/>
      <w:r w:rsidRPr="003D5488">
        <w:rPr>
          <w:rFonts w:ascii="Times New Roman" w:eastAsia="Times New Roman" w:hAnsi="Times New Roman" w:cs="Times New Roman"/>
          <w:iCs/>
          <w:sz w:val="24"/>
          <w:szCs w:val="24"/>
          <w:lang w:eastAsia="tr-TR"/>
        </w:rPr>
        <w:t>nitelendirilmesi;</w:t>
      </w:r>
      <w:proofErr w:type="gramEnd"/>
      <w:r w:rsidRPr="003D5488">
        <w:rPr>
          <w:rFonts w:ascii="Times New Roman" w:eastAsia="Times New Roman" w:hAnsi="Times New Roman" w:cs="Times New Roman"/>
          <w:iCs/>
          <w:sz w:val="24"/>
          <w:szCs w:val="24"/>
          <w:lang w:eastAsia="tr-TR"/>
        </w:rPr>
        <w:t xml:space="preserve"> ve başvurucunun Demokratik Toplum Kongresi aktivitelerine katılmış olması (bakınız yukarıda 70. paragraf). 11 Ocak 2017 tarihinde başlayan (bakınız yukarıda 78. paragraf) ve hala derdest olan yargılamalara bakıldığında, sunulan delillerin neredeyse tamamı başvurucunun konuşmalarından oluşmaktadır.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247. Yukarıda belirtilenler ışığında Mahkeme; başvurucunun 20 Mayıs 2016 tarihli anayasa değişiklikleri doğrultusunda yasama dokunulmazlığının kaldırılması, başvurucu hakkındaki ceza yargılamaları ve yukarıda anılan delillerin başvurucunun siyasal ifadelerinden oluşması göz önüne alındığında; bütün bu tedbirlerin birleşmesinin başvurucunun Sözleşme’nin </w:t>
      </w:r>
      <w:r w:rsidRPr="003D5488">
        <w:rPr>
          <w:rFonts w:ascii="Times New Roman" w:eastAsia="Times New Roman" w:hAnsi="Times New Roman" w:cs="Times New Roman"/>
          <w:iCs/>
          <w:sz w:val="24"/>
          <w:szCs w:val="24"/>
          <w:lang w:eastAsia="tr-TR"/>
        </w:rPr>
        <w:lastRenderedPageBreak/>
        <w:t xml:space="preserve">10. maddesi altında korunan ifade özgürlüğünden yararlanmasına bir müdahale teşkil ettiğinin </w:t>
      </w:r>
      <w:proofErr w:type="gramStart"/>
      <w:r w:rsidRPr="003D5488">
        <w:rPr>
          <w:rFonts w:ascii="Times New Roman" w:eastAsia="Times New Roman" w:hAnsi="Times New Roman" w:cs="Times New Roman"/>
          <w:iCs/>
          <w:sz w:val="24"/>
          <w:szCs w:val="24"/>
          <w:lang w:eastAsia="tr-TR"/>
        </w:rPr>
        <w:t>inkar</w:t>
      </w:r>
      <w:proofErr w:type="gramEnd"/>
      <w:r w:rsidRPr="003D5488">
        <w:rPr>
          <w:rFonts w:ascii="Times New Roman" w:eastAsia="Times New Roman" w:hAnsi="Times New Roman" w:cs="Times New Roman"/>
          <w:iCs/>
          <w:sz w:val="24"/>
          <w:szCs w:val="24"/>
          <w:lang w:eastAsia="tr-TR"/>
        </w:rPr>
        <w:t xml:space="preserve"> edilemeyeceği görüşündedir. Mahkeme bu sebeple Hükümet tarafından öne sürülen mağdur statüsünün yokluğu itirazını reddetmektedir.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248. Söz konusu müdahale “kanunla öngörülmeli”, 10. maddenin 2. fıkrasında belirtilen bir ya da daha fazla meşru amacı taşımalı ve “demokratik toplum düzeninde gerekli” olmalıdır (bakınız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w:t>
      </w:r>
      <w:r w:rsidRPr="003D5488">
        <w:rPr>
          <w:rFonts w:ascii="Times New Roman" w:eastAsia="Times New Roman" w:hAnsi="Times New Roman" w:cs="Times New Roman"/>
          <w:iCs/>
          <w:sz w:val="24"/>
          <w:szCs w:val="24"/>
          <w:lang w:eastAsia="tr-TR"/>
        </w:rPr>
        <w:t>, yukarıda anılan, § 121).</w:t>
      </w:r>
    </w:p>
    <w:p w:rsidR="008273E0" w:rsidRPr="003D5488" w:rsidRDefault="008273E0"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2C4924" w:rsidRPr="003D5488" w:rsidRDefault="002C4924" w:rsidP="008273E0">
      <w:pPr>
        <w:pStyle w:val="Balk3"/>
        <w:rPr>
          <w:color w:val="auto"/>
        </w:rPr>
      </w:pPr>
      <w:r w:rsidRPr="003D5488">
        <w:rPr>
          <w:color w:val="auto"/>
        </w:rPr>
        <w:t>Müdahalenin kanunla öngörülüp öngörülmediği hususu</w:t>
      </w:r>
    </w:p>
    <w:p w:rsidR="002C4924" w:rsidRPr="003D5488" w:rsidRDefault="002C4924" w:rsidP="002C4924">
      <w:pPr>
        <w:shd w:val="clear" w:color="auto" w:fill="FFFFFF"/>
        <w:tabs>
          <w:tab w:val="left" w:pos="720"/>
        </w:tabs>
        <w:spacing w:after="0" w:line="276" w:lineRule="auto"/>
        <w:ind w:left="810" w:hanging="270"/>
        <w:jc w:val="both"/>
        <w:rPr>
          <w:rFonts w:ascii="Times New Roman" w:eastAsia="Times New Roman" w:hAnsi="Times New Roman" w:cs="Times New Roman"/>
          <w:b/>
          <w:szCs w:val="24"/>
          <w:lang w:eastAsia="tr-TR"/>
        </w:rPr>
      </w:pPr>
    </w:p>
    <w:p w:rsidR="002C4924" w:rsidRPr="003D5488" w:rsidRDefault="002C4924" w:rsidP="008273E0">
      <w:pPr>
        <w:pStyle w:val="Balk4"/>
        <w:rPr>
          <w:color w:val="auto"/>
        </w:rPr>
      </w:pPr>
      <w:r w:rsidRPr="003D5488">
        <w:rPr>
          <w:color w:val="auto"/>
        </w:rPr>
        <w:t>Genel ilkeler</w:t>
      </w:r>
    </w:p>
    <w:p w:rsidR="002C4924" w:rsidRPr="003D5488" w:rsidRDefault="002C4924" w:rsidP="002C4924">
      <w:pPr>
        <w:shd w:val="clear" w:color="auto" w:fill="FFFFFF"/>
        <w:tabs>
          <w:tab w:val="left" w:pos="720"/>
        </w:tabs>
        <w:spacing w:after="0" w:line="276" w:lineRule="auto"/>
        <w:ind w:left="810"/>
        <w:jc w:val="both"/>
        <w:rPr>
          <w:rFonts w:ascii="Times New Roman" w:eastAsia="Times New Roman" w:hAnsi="Times New Roman" w:cs="Times New Roman"/>
          <w:i/>
          <w:szCs w:val="24"/>
          <w:lang w:eastAsia="tr-TR"/>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iCs/>
          <w:sz w:val="24"/>
          <w:szCs w:val="24"/>
          <w:lang w:eastAsia="tr-TR"/>
        </w:rPr>
        <w:t xml:space="preserve">249. Mahkeme, ilgili tedbirin yerel hukukta bazı temelleri bulunmasının zorunlu olduğu ve ayrıca tedbirin Sözleşme’nin Başlangıç kısmında açıkça belirtilen ve Sözleşme’nin her maddesine içkin olan hukukun üstünlüğü ilkesi ile bağdaşması gerektiği yönündeki yerleşik içtihadına atıfta bulunmaktadır. Özel olarak, yetkili mercilere verilen takdir yetkisi, kontrolsüz bir yetki olarak ifade edilmişse bu durum hukukun üstünlüğüne aykırı olacaktır. Bu sebeple hukuk kurallarının yetkililere tanıdığı böylesi takdir yetkilerinin kapsamının ve bu yetkinin kullanılmasının yeterli açıklıkla ifade edilmesi ve böylece keyfi müdahalelere karşı yeterli bireysel korumanın sağlanması gerekmektedir </w:t>
      </w:r>
      <w:r w:rsidRPr="003D5488">
        <w:rPr>
          <w:rFonts w:ascii="Times New Roman" w:eastAsia="Times New Roman" w:hAnsi="Times New Roman" w:cs="Times New Roman"/>
          <w:sz w:val="24"/>
          <w:szCs w:val="24"/>
          <w:lang w:eastAsia="tr-TR"/>
        </w:rPr>
        <w:t xml:space="preserve">(bakınız </w:t>
      </w:r>
      <w:r w:rsidRPr="003D5488">
        <w:rPr>
          <w:rFonts w:ascii="Times New Roman" w:eastAsia="Times New Roman" w:hAnsi="Times New Roman" w:cs="Times New Roman"/>
          <w:i/>
          <w:iCs/>
          <w:sz w:val="24"/>
          <w:szCs w:val="24"/>
          <w:lang w:eastAsia="tr-TR"/>
        </w:rPr>
        <w:t xml:space="preserve">Roman </w:t>
      </w:r>
      <w:proofErr w:type="spellStart"/>
      <w:r w:rsidRPr="003D5488">
        <w:rPr>
          <w:rFonts w:ascii="Times New Roman" w:eastAsia="Times New Roman" w:hAnsi="Times New Roman" w:cs="Times New Roman"/>
          <w:i/>
          <w:iCs/>
          <w:sz w:val="24"/>
          <w:szCs w:val="24"/>
          <w:lang w:eastAsia="tr-TR"/>
        </w:rPr>
        <w:t>Zakharov</w:t>
      </w:r>
      <w:proofErr w:type="spellEnd"/>
      <w:r w:rsidRPr="003D5488">
        <w:rPr>
          <w:rFonts w:ascii="Times New Roman" w:eastAsia="Times New Roman" w:hAnsi="Times New Roman" w:cs="Times New Roman"/>
          <w:i/>
          <w:iCs/>
          <w:sz w:val="24"/>
          <w:szCs w:val="24"/>
          <w:lang w:eastAsia="tr-TR"/>
        </w:rPr>
        <w:t xml:space="preserve"> v. Rusya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47143/06, §§ 228 ve 230, ECHR 2015;</w:t>
      </w:r>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Malone</w:t>
      </w:r>
      <w:proofErr w:type="spellEnd"/>
      <w:r w:rsidRPr="003D5488">
        <w:rPr>
          <w:rFonts w:ascii="Times New Roman" w:eastAsia="Times New Roman" w:hAnsi="Times New Roman" w:cs="Times New Roman"/>
          <w:i/>
          <w:iCs/>
          <w:sz w:val="24"/>
          <w:szCs w:val="24"/>
          <w:lang w:eastAsia="tr-TR"/>
        </w:rPr>
        <w:t xml:space="preserve"> v. Birleşik Krallık</w:t>
      </w:r>
      <w:r w:rsidRPr="003D5488">
        <w:rPr>
          <w:rFonts w:ascii="Times New Roman" w:eastAsia="Times New Roman" w:hAnsi="Times New Roman" w:cs="Times New Roman"/>
          <w:sz w:val="24"/>
          <w:szCs w:val="24"/>
          <w:lang w:eastAsia="tr-TR"/>
        </w:rPr>
        <w:t xml:space="preserve">, 2 Ağustos 1984, § 67, Series A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82; </w:t>
      </w:r>
      <w:proofErr w:type="spellStart"/>
      <w:r w:rsidRPr="003D5488">
        <w:rPr>
          <w:rFonts w:ascii="Times New Roman" w:eastAsia="Times New Roman" w:hAnsi="Times New Roman" w:cs="Times New Roman"/>
          <w:i/>
          <w:iCs/>
          <w:sz w:val="24"/>
          <w:szCs w:val="24"/>
          <w:lang w:eastAsia="tr-TR"/>
        </w:rPr>
        <w:t>Olsson</w:t>
      </w:r>
      <w:proofErr w:type="spellEnd"/>
      <w:r w:rsidRPr="003D5488">
        <w:rPr>
          <w:rFonts w:ascii="Times New Roman" w:eastAsia="Times New Roman" w:hAnsi="Times New Roman" w:cs="Times New Roman"/>
          <w:iCs/>
          <w:sz w:val="24"/>
          <w:szCs w:val="24"/>
          <w:lang w:eastAsia="tr-TR"/>
        </w:rPr>
        <w:t xml:space="preserve"> </w:t>
      </w:r>
      <w:r w:rsidRPr="003D5488">
        <w:rPr>
          <w:rFonts w:ascii="Times New Roman" w:eastAsia="Times New Roman" w:hAnsi="Times New Roman" w:cs="Times New Roman"/>
          <w:i/>
          <w:iCs/>
          <w:sz w:val="24"/>
          <w:szCs w:val="24"/>
          <w:lang w:eastAsia="tr-TR"/>
        </w:rPr>
        <w:t>v. İsveç (</w:t>
      </w:r>
      <w:proofErr w:type="spellStart"/>
      <w:r w:rsidRPr="003D5488">
        <w:rPr>
          <w:rFonts w:ascii="Times New Roman" w:eastAsia="Times New Roman" w:hAnsi="Times New Roman" w:cs="Times New Roman"/>
          <w:i/>
          <w:iCs/>
          <w:sz w:val="24"/>
          <w:szCs w:val="24"/>
          <w:lang w:eastAsia="tr-TR"/>
        </w:rPr>
        <w:t>no</w:t>
      </w:r>
      <w:proofErr w:type="spellEnd"/>
      <w:r w:rsidRPr="003D5488">
        <w:rPr>
          <w:rFonts w:ascii="Times New Roman" w:eastAsia="Times New Roman" w:hAnsi="Times New Roman" w:cs="Times New Roman"/>
          <w:i/>
          <w:iCs/>
          <w:sz w:val="24"/>
          <w:szCs w:val="24"/>
          <w:lang w:eastAsia="tr-TR"/>
        </w:rPr>
        <w:t>. 1)</w:t>
      </w:r>
      <w:r w:rsidRPr="003D5488">
        <w:rPr>
          <w:rFonts w:ascii="Times New Roman" w:eastAsia="Times New Roman" w:hAnsi="Times New Roman" w:cs="Times New Roman"/>
          <w:sz w:val="24"/>
          <w:szCs w:val="24"/>
          <w:lang w:eastAsia="tr-TR"/>
        </w:rPr>
        <w:t xml:space="preserve">, 24 Mart 1988, § 61, Series A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w:t>
      </w:r>
      <w:proofErr w:type="gramStart"/>
      <w:r w:rsidRPr="003D5488">
        <w:rPr>
          <w:rFonts w:ascii="Times New Roman" w:eastAsia="Times New Roman" w:hAnsi="Times New Roman" w:cs="Times New Roman"/>
          <w:sz w:val="24"/>
          <w:szCs w:val="24"/>
          <w:lang w:eastAsia="tr-TR"/>
        </w:rPr>
        <w:t>130;</w:t>
      </w:r>
      <w:proofErr w:type="gramEnd"/>
      <w:r w:rsidRPr="003D5488">
        <w:rPr>
          <w:rFonts w:ascii="Times New Roman" w:eastAsia="Times New Roman" w:hAnsi="Times New Roman" w:cs="Times New Roman"/>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Navalnyy</w:t>
      </w:r>
      <w:proofErr w:type="spellEnd"/>
      <w:r w:rsidRPr="003D5488">
        <w:rPr>
          <w:rFonts w:ascii="Times New Roman" w:eastAsia="Times New Roman" w:hAnsi="Times New Roman" w:cs="Times New Roman"/>
          <w:sz w:val="24"/>
          <w:szCs w:val="24"/>
          <w:lang w:eastAsia="tr-TR"/>
        </w:rPr>
        <w:t xml:space="preserve">, yukarıda anılan, § 115). Bu bağlamda, yerel hukukun yorumlanması ve uygulanması öncelikle ulusal yetkililerin, özellikle mahkemelerin görevidir (bakınız, diğer kararların yanı sıra, </w:t>
      </w:r>
      <w:proofErr w:type="spellStart"/>
      <w:r w:rsidRPr="003D5488">
        <w:rPr>
          <w:rFonts w:ascii="Times New Roman" w:eastAsia="Times New Roman" w:hAnsi="Times New Roman" w:cs="Times New Roman"/>
          <w:i/>
          <w:iCs/>
          <w:sz w:val="24"/>
          <w:szCs w:val="24"/>
          <w:lang w:eastAsia="tr-TR"/>
        </w:rPr>
        <w:t>Waite</w:t>
      </w:r>
      <w:proofErr w:type="spellEnd"/>
      <w:r w:rsidRPr="003D5488">
        <w:rPr>
          <w:rFonts w:ascii="Times New Roman" w:eastAsia="Times New Roman" w:hAnsi="Times New Roman" w:cs="Times New Roman"/>
          <w:i/>
          <w:iCs/>
          <w:sz w:val="24"/>
          <w:szCs w:val="24"/>
          <w:lang w:eastAsia="tr-TR"/>
        </w:rPr>
        <w:t xml:space="preserve"> ve Kennedy v. Almanya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26083/94, § 54, ECHR 1999-</w:t>
      </w:r>
      <w:proofErr w:type="gramStart"/>
      <w:r w:rsidRPr="003D5488">
        <w:rPr>
          <w:rFonts w:ascii="Times New Roman" w:eastAsia="Times New Roman" w:hAnsi="Times New Roman" w:cs="Times New Roman"/>
          <w:sz w:val="24"/>
          <w:szCs w:val="24"/>
          <w:lang w:eastAsia="tr-TR"/>
        </w:rPr>
        <w:t>I,</w:t>
      </w:r>
      <w:proofErr w:type="gramEnd"/>
      <w:r w:rsidRPr="003D5488">
        <w:rPr>
          <w:rFonts w:ascii="Times New Roman" w:eastAsia="Times New Roman" w:hAnsi="Times New Roman" w:cs="Times New Roman"/>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 </w:t>
      </w:r>
      <w:r w:rsidRPr="003D5488">
        <w:rPr>
          <w:rFonts w:ascii="Times New Roman" w:eastAsia="Times New Roman" w:hAnsi="Times New Roman" w:cs="Times New Roman"/>
          <w:sz w:val="24"/>
          <w:szCs w:val="24"/>
          <w:lang w:eastAsia="tr-TR"/>
        </w:rPr>
        <w:t xml:space="preserve">yukarıda anılan, § 123). Mahkeme’nin rolü, söz konusu yorumun etkilerinin Sözleşme ile uyumlu olup olmadığını saptamak ile sınırlandırılmıştır (bakınız </w:t>
      </w:r>
      <w:proofErr w:type="spellStart"/>
      <w:r w:rsidRPr="003D5488">
        <w:rPr>
          <w:rFonts w:ascii="Times New Roman" w:eastAsia="Times New Roman" w:hAnsi="Times New Roman" w:cs="Times New Roman"/>
          <w:i/>
          <w:iCs/>
          <w:sz w:val="24"/>
          <w:szCs w:val="24"/>
          <w:lang w:eastAsia="tr-TR"/>
        </w:rPr>
        <w:t>Korbely</w:t>
      </w:r>
      <w:proofErr w:type="spellEnd"/>
      <w:r w:rsidRPr="003D5488">
        <w:rPr>
          <w:rFonts w:ascii="Times New Roman" w:eastAsia="Times New Roman" w:hAnsi="Times New Roman" w:cs="Times New Roman"/>
          <w:i/>
          <w:iCs/>
          <w:sz w:val="24"/>
          <w:szCs w:val="24"/>
          <w:lang w:eastAsia="tr-TR"/>
        </w:rPr>
        <w:t xml:space="preserve"> v. </w:t>
      </w:r>
      <w:proofErr w:type="spellStart"/>
      <w:r w:rsidRPr="003D5488">
        <w:rPr>
          <w:rFonts w:ascii="Times New Roman" w:eastAsia="Times New Roman" w:hAnsi="Times New Roman" w:cs="Times New Roman"/>
          <w:i/>
          <w:iCs/>
          <w:sz w:val="24"/>
          <w:szCs w:val="24"/>
          <w:lang w:eastAsia="tr-TR"/>
        </w:rPr>
        <w:t>Macasristan</w:t>
      </w:r>
      <w:proofErr w:type="spellEnd"/>
      <w:r w:rsidRPr="003D5488">
        <w:rPr>
          <w:rFonts w:ascii="Times New Roman" w:eastAsia="Times New Roman" w:hAnsi="Times New Roman" w:cs="Times New Roman"/>
          <w:i/>
          <w:iCs/>
          <w:sz w:val="24"/>
          <w:szCs w:val="24"/>
          <w:lang w:eastAsia="tr-TR"/>
        </w:rPr>
        <w:t xml:space="preserve">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9174/02, § 72, ECHR 2008). </w:t>
      </w:r>
      <w:proofErr w:type="gramStart"/>
      <w:r w:rsidRPr="003D5488">
        <w:rPr>
          <w:rFonts w:ascii="Times New Roman" w:eastAsia="Times New Roman" w:hAnsi="Times New Roman" w:cs="Times New Roman"/>
          <w:sz w:val="24"/>
          <w:szCs w:val="24"/>
          <w:lang w:eastAsia="tr-TR"/>
        </w:rPr>
        <w:t xml:space="preserve">10. maddenin 2. fıkrasında belirtilen “kanunla öngörülme” ibaresi ayrıca söz konusu kanunun niteliğine de atıf yapmaktadır, buna göre söz konusu kanunun ilgili kişilerce erişilebilir olması ve etkililerinin öngörülebilir olması gerekmektedir (bakınız, diğer birçok kararın yanı sıra, </w:t>
      </w:r>
      <w:proofErr w:type="spellStart"/>
      <w:r w:rsidRPr="003D5488">
        <w:rPr>
          <w:rFonts w:ascii="Times New Roman" w:eastAsia="Times New Roman" w:hAnsi="Times New Roman" w:cs="Times New Roman"/>
          <w:i/>
          <w:iCs/>
          <w:sz w:val="24"/>
          <w:szCs w:val="24"/>
          <w:lang w:eastAsia="tr-TR"/>
        </w:rPr>
        <w:t>Rotaru</w:t>
      </w:r>
      <w:proofErr w:type="spellEnd"/>
      <w:r w:rsidRPr="003D5488">
        <w:rPr>
          <w:rFonts w:ascii="Times New Roman" w:eastAsia="Times New Roman" w:hAnsi="Times New Roman" w:cs="Times New Roman"/>
          <w:i/>
          <w:iCs/>
          <w:sz w:val="24"/>
          <w:szCs w:val="24"/>
          <w:lang w:eastAsia="tr-TR"/>
        </w:rPr>
        <w:t xml:space="preserve"> v. Romanya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28341/95, § 52, ECHR 2000-V; </w:t>
      </w:r>
      <w:proofErr w:type="spellStart"/>
      <w:r w:rsidRPr="003D5488">
        <w:rPr>
          <w:rFonts w:ascii="Times New Roman" w:eastAsia="Times New Roman" w:hAnsi="Times New Roman" w:cs="Times New Roman"/>
          <w:i/>
          <w:iCs/>
          <w:sz w:val="24"/>
          <w:szCs w:val="24"/>
          <w:lang w:eastAsia="tr-TR"/>
        </w:rPr>
        <w:t>Maestri</w:t>
      </w:r>
      <w:proofErr w:type="spellEnd"/>
      <w:r w:rsidRPr="003D5488">
        <w:rPr>
          <w:rFonts w:ascii="Times New Roman" w:eastAsia="Times New Roman" w:hAnsi="Times New Roman" w:cs="Times New Roman"/>
          <w:i/>
          <w:iCs/>
          <w:sz w:val="24"/>
          <w:szCs w:val="24"/>
          <w:lang w:eastAsia="tr-TR"/>
        </w:rPr>
        <w:t xml:space="preserve"> v. İtalya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39748/98, § 30, ECHR 2004-I; </w:t>
      </w:r>
      <w:proofErr w:type="spellStart"/>
      <w:r w:rsidRPr="003D5488">
        <w:rPr>
          <w:rFonts w:ascii="Times New Roman" w:eastAsia="Times New Roman" w:hAnsi="Times New Roman" w:cs="Times New Roman"/>
          <w:i/>
          <w:iCs/>
          <w:sz w:val="24"/>
          <w:szCs w:val="24"/>
          <w:lang w:eastAsia="tr-TR"/>
        </w:rPr>
        <w:t>Centro</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Europa</w:t>
      </w:r>
      <w:proofErr w:type="spellEnd"/>
      <w:r w:rsidRPr="003D5488">
        <w:rPr>
          <w:rFonts w:ascii="Times New Roman" w:eastAsia="Times New Roman" w:hAnsi="Times New Roman" w:cs="Times New Roman"/>
          <w:i/>
          <w:iCs/>
          <w:sz w:val="24"/>
          <w:szCs w:val="24"/>
          <w:lang w:eastAsia="tr-TR"/>
        </w:rPr>
        <w:t xml:space="preserve"> 7 </w:t>
      </w:r>
      <w:proofErr w:type="spellStart"/>
      <w:r w:rsidRPr="003D5488">
        <w:rPr>
          <w:rFonts w:ascii="Times New Roman" w:eastAsia="Times New Roman" w:hAnsi="Times New Roman" w:cs="Times New Roman"/>
          <w:i/>
          <w:iCs/>
          <w:sz w:val="24"/>
          <w:szCs w:val="24"/>
          <w:lang w:eastAsia="tr-TR"/>
        </w:rPr>
        <w:t>S.r.l</w:t>
      </w:r>
      <w:proofErr w:type="spellEnd"/>
      <w:r w:rsidRPr="003D5488">
        <w:rPr>
          <w:rFonts w:ascii="Times New Roman" w:eastAsia="Times New Roman" w:hAnsi="Times New Roman" w:cs="Times New Roman"/>
          <w:i/>
          <w:iCs/>
          <w:sz w:val="24"/>
          <w:szCs w:val="24"/>
          <w:lang w:eastAsia="tr-TR"/>
        </w:rPr>
        <w:t xml:space="preserve">. </w:t>
      </w:r>
      <w:r w:rsidR="00DA1D16">
        <w:rPr>
          <w:rFonts w:ascii="Times New Roman" w:eastAsia="Times New Roman" w:hAnsi="Times New Roman" w:cs="Times New Roman"/>
          <w:i/>
          <w:iCs/>
          <w:sz w:val="24"/>
          <w:szCs w:val="24"/>
          <w:lang w:eastAsia="tr-TR"/>
        </w:rPr>
        <w:t>ve</w:t>
      </w:r>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Di</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Stefano</w:t>
      </w:r>
      <w:proofErr w:type="spellEnd"/>
      <w:r w:rsidRPr="003D5488">
        <w:rPr>
          <w:rFonts w:ascii="Times New Roman" w:eastAsia="Times New Roman" w:hAnsi="Times New Roman" w:cs="Times New Roman"/>
          <w:i/>
          <w:iCs/>
          <w:sz w:val="24"/>
          <w:szCs w:val="24"/>
          <w:lang w:eastAsia="tr-TR"/>
        </w:rPr>
        <w:t xml:space="preserve"> v. İtalya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38433/09, § 140, </w:t>
      </w:r>
      <w:r w:rsidRPr="003D5488">
        <w:rPr>
          <w:rFonts w:ascii="Times New Roman" w:eastAsia="Times New Roman" w:hAnsi="Times New Roman" w:cs="Times New Roman"/>
          <w:sz w:val="24"/>
          <w:szCs w:val="24"/>
          <w:lang w:eastAsia="tr-TR"/>
        </w:rPr>
        <w:lastRenderedPageBreak/>
        <w:t xml:space="preserve">ECHR 2012; </w:t>
      </w:r>
      <w:proofErr w:type="spellStart"/>
      <w:r w:rsidRPr="003D5488">
        <w:rPr>
          <w:rFonts w:ascii="Times New Roman" w:eastAsia="Times New Roman" w:hAnsi="Times New Roman" w:cs="Times New Roman"/>
          <w:i/>
          <w:iCs/>
          <w:sz w:val="24"/>
          <w:szCs w:val="24"/>
          <w:lang w:eastAsia="tr-TR"/>
        </w:rPr>
        <w:t>Kudrevičius</w:t>
      </w:r>
      <w:proofErr w:type="spellEnd"/>
      <w:r w:rsidRPr="003D5488">
        <w:rPr>
          <w:rFonts w:ascii="Times New Roman" w:eastAsia="Times New Roman" w:hAnsi="Times New Roman" w:cs="Times New Roman"/>
          <w:i/>
          <w:iCs/>
          <w:sz w:val="24"/>
          <w:szCs w:val="24"/>
          <w:lang w:eastAsia="tr-TR"/>
        </w:rPr>
        <w:t xml:space="preserve"> ve Diğerleri v. Litvanya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37553/05, § 108, ECHR 2015 ve </w:t>
      </w:r>
      <w:proofErr w:type="spellStart"/>
      <w:r w:rsidRPr="003D5488">
        <w:rPr>
          <w:rFonts w:ascii="Times New Roman" w:eastAsia="Times New Roman" w:hAnsi="Times New Roman" w:cs="Times New Roman"/>
          <w:i/>
          <w:iCs/>
          <w:sz w:val="24"/>
          <w:szCs w:val="24"/>
          <w:lang w:eastAsia="tr-TR"/>
        </w:rPr>
        <w:t>Delfi</w:t>
      </w:r>
      <w:proofErr w:type="spellEnd"/>
      <w:r w:rsidRPr="003D5488">
        <w:rPr>
          <w:rFonts w:ascii="Times New Roman" w:eastAsia="Times New Roman" w:hAnsi="Times New Roman" w:cs="Times New Roman"/>
          <w:i/>
          <w:iCs/>
          <w:sz w:val="24"/>
          <w:szCs w:val="24"/>
          <w:lang w:eastAsia="tr-TR"/>
        </w:rPr>
        <w:t xml:space="preserve"> AS v. Estonya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64569/09, § 120, ECHR 2015).</w:t>
      </w:r>
      <w:proofErr w:type="gramEnd"/>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sz w:val="24"/>
          <w:szCs w:val="24"/>
          <w:lang w:eastAsia="tr-TR"/>
        </w:rPr>
        <w:t xml:space="preserve">250. “Kanunla öngörülme” ibaresinden kaynaklanan gerekliliklerden bir tanesi öngörülebilirliktir. Mahkeme’nin görüşüne göre, bir norm kişilerin davranışlarını düzenleyebilmesine izin veren yeterli kesinlikte formüle edilmemişse ve kişilerin –gerekli olduğu takdirde uygun tavsiyeler eşliğinde- ilgili koşulları ve eylemlerinin yol açabileceği sonuçları makul bir seviyede öngörmesine cevaz vermiyorsa 10. maddenin 2. fıkrası maksatlarınca “kanun” olarak görülemez. Bu sonuçların mutlak bir kesinlikte öngörülmesine gerek yoktur. Her ne kadar kesinlik son derece makbul olsa da aynı zamanda orantısız bir katılık da getirebilir, hukukun değişen koşullara ayak uydurması gerekmektedir. </w:t>
      </w:r>
      <w:proofErr w:type="gramStart"/>
      <w:r w:rsidRPr="003D5488">
        <w:rPr>
          <w:rFonts w:ascii="Times New Roman" w:eastAsia="Times New Roman" w:hAnsi="Times New Roman" w:cs="Times New Roman"/>
          <w:sz w:val="24"/>
          <w:szCs w:val="24"/>
          <w:lang w:eastAsia="tr-TR"/>
        </w:rPr>
        <w:t xml:space="preserve">Bu doğrultuda, birçok kanun kaçınılmaz olarak az ya da çok ölçekte belirsizdir ve bu kanunların yorumlanışı ve uygulanması pratiğin konusudur (bakınız, örneğin, </w:t>
      </w:r>
      <w:proofErr w:type="spellStart"/>
      <w:r w:rsidRPr="003D5488">
        <w:rPr>
          <w:rFonts w:ascii="Times New Roman" w:eastAsia="Times New Roman" w:hAnsi="Times New Roman" w:cs="Times New Roman"/>
          <w:i/>
          <w:iCs/>
          <w:sz w:val="24"/>
          <w:szCs w:val="24"/>
          <w:lang w:eastAsia="tr-TR"/>
        </w:rPr>
        <w:t>Lindon</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Otchakovsky-Laurens</w:t>
      </w:r>
      <w:proofErr w:type="spellEnd"/>
      <w:r w:rsidRPr="003D5488">
        <w:rPr>
          <w:rFonts w:ascii="Times New Roman" w:eastAsia="Times New Roman" w:hAnsi="Times New Roman" w:cs="Times New Roman"/>
          <w:i/>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July</w:t>
      </w:r>
      <w:proofErr w:type="spellEnd"/>
      <w:r w:rsidRPr="003D5488">
        <w:rPr>
          <w:rFonts w:ascii="Times New Roman" w:eastAsia="Times New Roman" w:hAnsi="Times New Roman" w:cs="Times New Roman"/>
          <w:i/>
          <w:iCs/>
          <w:sz w:val="24"/>
          <w:szCs w:val="24"/>
          <w:lang w:eastAsia="tr-TR"/>
        </w:rPr>
        <w:t xml:space="preserve"> v. Fransa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21279/02 ve 36448/02, § 41, ECHR</w:t>
      </w:r>
      <w:r w:rsidRPr="003D5488">
        <w:rPr>
          <w:rFonts w:ascii="Times New Roman" w:eastAsia="Times New Roman" w:hAnsi="Times New Roman" w:cs="Times New Roman"/>
          <w:i/>
          <w:iCs/>
          <w:sz w:val="24"/>
          <w:szCs w:val="24"/>
          <w:lang w:eastAsia="tr-TR"/>
        </w:rPr>
        <w:t xml:space="preserve"> </w:t>
      </w:r>
      <w:r w:rsidRPr="003D5488">
        <w:rPr>
          <w:rFonts w:ascii="Times New Roman" w:eastAsia="Times New Roman" w:hAnsi="Times New Roman" w:cs="Times New Roman"/>
          <w:sz w:val="24"/>
          <w:szCs w:val="24"/>
          <w:lang w:eastAsia="tr-TR"/>
        </w:rPr>
        <w:t xml:space="preserve">2007-IV; </w:t>
      </w:r>
      <w:proofErr w:type="spellStart"/>
      <w:r w:rsidRPr="003D5488">
        <w:rPr>
          <w:rFonts w:ascii="Times New Roman" w:eastAsia="Times New Roman" w:hAnsi="Times New Roman" w:cs="Times New Roman"/>
          <w:i/>
          <w:iCs/>
          <w:sz w:val="24"/>
          <w:szCs w:val="24"/>
          <w:lang w:eastAsia="tr-TR"/>
        </w:rPr>
        <w:t>Centro</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Europa</w:t>
      </w:r>
      <w:proofErr w:type="spellEnd"/>
      <w:r w:rsidRPr="003D5488">
        <w:rPr>
          <w:rFonts w:ascii="Times New Roman" w:eastAsia="Times New Roman" w:hAnsi="Times New Roman" w:cs="Times New Roman"/>
          <w:i/>
          <w:iCs/>
          <w:sz w:val="24"/>
          <w:szCs w:val="24"/>
          <w:lang w:eastAsia="tr-TR"/>
        </w:rPr>
        <w:t xml:space="preserve"> 7 </w:t>
      </w:r>
      <w:proofErr w:type="spellStart"/>
      <w:r w:rsidRPr="003D5488">
        <w:rPr>
          <w:rFonts w:ascii="Times New Roman" w:eastAsia="Times New Roman" w:hAnsi="Times New Roman" w:cs="Times New Roman"/>
          <w:i/>
          <w:iCs/>
          <w:sz w:val="24"/>
          <w:szCs w:val="24"/>
          <w:lang w:eastAsia="tr-TR"/>
        </w:rPr>
        <w:t>S.r.l</w:t>
      </w:r>
      <w:proofErr w:type="spellEnd"/>
      <w:r w:rsidRPr="003D5488">
        <w:rPr>
          <w:rFonts w:ascii="Times New Roman" w:eastAsia="Times New Roman" w:hAnsi="Times New Roman" w:cs="Times New Roman"/>
          <w:i/>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Di</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Stefano</w:t>
      </w:r>
      <w:proofErr w:type="spellEnd"/>
      <w:r w:rsidRPr="003D5488">
        <w:rPr>
          <w:rFonts w:ascii="Times New Roman" w:eastAsia="Times New Roman" w:hAnsi="Times New Roman" w:cs="Times New Roman"/>
          <w:sz w:val="24"/>
          <w:szCs w:val="24"/>
          <w:lang w:eastAsia="tr-TR"/>
        </w:rPr>
        <w:t xml:space="preserve">, yukarıda anılan, § 141 ve </w:t>
      </w:r>
      <w:proofErr w:type="spellStart"/>
      <w:r w:rsidRPr="003D5488">
        <w:rPr>
          <w:rFonts w:ascii="Times New Roman" w:eastAsia="Times New Roman" w:hAnsi="Times New Roman" w:cs="Times New Roman"/>
          <w:i/>
          <w:iCs/>
          <w:sz w:val="24"/>
          <w:szCs w:val="24"/>
          <w:lang w:eastAsia="tr-TR"/>
        </w:rPr>
        <w:t>Delfi</w:t>
      </w:r>
      <w:proofErr w:type="spellEnd"/>
      <w:r w:rsidRPr="003D5488">
        <w:rPr>
          <w:rFonts w:ascii="Times New Roman" w:eastAsia="Times New Roman" w:hAnsi="Times New Roman" w:cs="Times New Roman"/>
          <w:i/>
          <w:iCs/>
          <w:sz w:val="24"/>
          <w:szCs w:val="24"/>
          <w:lang w:eastAsia="tr-TR"/>
        </w:rPr>
        <w:t xml:space="preserve"> AS</w:t>
      </w:r>
      <w:r w:rsidRPr="003D5488">
        <w:rPr>
          <w:rFonts w:ascii="Times New Roman" w:eastAsia="Times New Roman" w:hAnsi="Times New Roman" w:cs="Times New Roman"/>
          <w:sz w:val="24"/>
          <w:szCs w:val="24"/>
          <w:lang w:eastAsia="tr-TR"/>
        </w:rPr>
        <w:t xml:space="preserve">, yukarıda anılan, § 121). </w:t>
      </w:r>
      <w:proofErr w:type="gramEnd"/>
      <w:r w:rsidRPr="003D5488">
        <w:rPr>
          <w:rFonts w:ascii="Times New Roman" w:eastAsia="Times New Roman" w:hAnsi="Times New Roman" w:cs="Times New Roman"/>
          <w:sz w:val="24"/>
          <w:szCs w:val="24"/>
          <w:lang w:eastAsia="tr-TR"/>
        </w:rPr>
        <w:t xml:space="preserve">Öngörülebilirlik kriteri, kanunun uygulanmasına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 bütün detaylı koşul ve usullerinin kanun lafzının kendisinde belirtilmesi gerekliliği olarak yorumlanamaz; bu </w:t>
      </w:r>
      <w:proofErr w:type="gramStart"/>
      <w:r w:rsidRPr="003D5488">
        <w:rPr>
          <w:rFonts w:ascii="Times New Roman" w:eastAsia="Times New Roman" w:hAnsi="Times New Roman" w:cs="Times New Roman"/>
          <w:sz w:val="24"/>
          <w:szCs w:val="24"/>
          <w:lang w:eastAsia="tr-TR"/>
        </w:rPr>
        <w:t>kriter</w:t>
      </w:r>
      <w:proofErr w:type="gramEnd"/>
      <w:r w:rsidRPr="003D5488">
        <w:rPr>
          <w:rFonts w:ascii="Times New Roman" w:eastAsia="Times New Roman" w:hAnsi="Times New Roman" w:cs="Times New Roman"/>
          <w:sz w:val="24"/>
          <w:szCs w:val="24"/>
          <w:lang w:eastAsia="tr-TR"/>
        </w:rPr>
        <w:t xml:space="preserve">, gerekli noktaların tatmin edici şekilde kanun metinlerinde açıklanamadığı durumlarda daha düşük seviyeli mevzuatın kabul edilmesiyle karşılanabilir. Takdir </w:t>
      </w:r>
      <w:proofErr w:type="gramStart"/>
      <w:r w:rsidRPr="003D5488">
        <w:rPr>
          <w:rFonts w:ascii="Times New Roman" w:eastAsia="Times New Roman" w:hAnsi="Times New Roman" w:cs="Times New Roman"/>
          <w:sz w:val="24"/>
          <w:szCs w:val="24"/>
          <w:lang w:eastAsia="tr-TR"/>
        </w:rPr>
        <w:t>marjı</w:t>
      </w:r>
      <w:proofErr w:type="gramEnd"/>
      <w:r w:rsidRPr="003D5488">
        <w:rPr>
          <w:rFonts w:ascii="Times New Roman" w:eastAsia="Times New Roman" w:hAnsi="Times New Roman" w:cs="Times New Roman"/>
          <w:sz w:val="24"/>
          <w:szCs w:val="24"/>
          <w:lang w:eastAsia="tr-TR"/>
        </w:rPr>
        <w:t xml:space="preserve"> tanıyan bir kanunun, bu takdir marjının kapsamı ve kullanımının yeterli açıklıkta ifade edilmesi ve ilgili tedbirin taşıdığı meşru amaç göz önüne alındığında, </w:t>
      </w:r>
      <w:r w:rsidRPr="003D5488">
        <w:rPr>
          <w:rFonts w:ascii="Times New Roman" w:eastAsia="Times New Roman" w:hAnsi="Times New Roman" w:cs="Times New Roman"/>
          <w:iCs/>
          <w:sz w:val="24"/>
          <w:szCs w:val="24"/>
          <w:lang w:eastAsia="tr-TR"/>
        </w:rPr>
        <w:t xml:space="preserve">keyfi müdahalelere karşı yeterli bireysel korumayı sağlaması şartıyla, öngörülebilirlik gerekliliğiyle bağdaşmadığı söylenemez (bakınız </w:t>
      </w:r>
      <w:proofErr w:type="spellStart"/>
      <w:r w:rsidRPr="003D5488">
        <w:rPr>
          <w:rFonts w:ascii="Times New Roman" w:eastAsia="Times New Roman" w:hAnsi="Times New Roman" w:cs="Times New Roman"/>
          <w:i/>
          <w:iCs/>
          <w:sz w:val="24"/>
          <w:szCs w:val="24"/>
          <w:lang w:eastAsia="tr-TR"/>
        </w:rPr>
        <w:t>Magyar</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Kétfarkú</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Kutya</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Párt</w:t>
      </w:r>
      <w:proofErr w:type="spellEnd"/>
      <w:r w:rsidRPr="003D5488">
        <w:rPr>
          <w:rFonts w:ascii="Times New Roman" w:eastAsia="Times New Roman" w:hAnsi="Times New Roman" w:cs="Times New Roman"/>
          <w:i/>
          <w:iCs/>
          <w:sz w:val="24"/>
          <w:szCs w:val="24"/>
          <w:lang w:eastAsia="tr-TR"/>
        </w:rPr>
        <w:t xml:space="preserve"> v. Macaristan </w:t>
      </w:r>
      <w:r w:rsidRPr="003D5488">
        <w:rPr>
          <w:rFonts w:ascii="Times New Roman" w:eastAsia="Times New Roman" w:hAnsi="Times New Roman" w:cs="Times New Roman"/>
          <w:iCs/>
          <w:sz w:val="24"/>
          <w:szCs w:val="24"/>
          <w:lang w:eastAsia="tr-TR"/>
        </w:rPr>
        <w:t xml:space="preserve">[BD], </w:t>
      </w:r>
      <w:proofErr w:type="spellStart"/>
      <w:r w:rsidRPr="003D5488">
        <w:rPr>
          <w:rFonts w:ascii="Times New Roman" w:eastAsia="Times New Roman" w:hAnsi="Times New Roman" w:cs="Times New Roman"/>
          <w:iCs/>
          <w:sz w:val="24"/>
          <w:szCs w:val="24"/>
          <w:lang w:eastAsia="tr-TR"/>
        </w:rPr>
        <w:t>no</w:t>
      </w:r>
      <w:proofErr w:type="spellEnd"/>
      <w:r w:rsidRPr="003D5488">
        <w:rPr>
          <w:rFonts w:ascii="Times New Roman" w:eastAsia="Times New Roman" w:hAnsi="Times New Roman" w:cs="Times New Roman"/>
          <w:iCs/>
          <w:sz w:val="24"/>
          <w:szCs w:val="24"/>
          <w:lang w:eastAsia="tr-TR"/>
        </w:rPr>
        <w:t>. 201/17, § 94, 20 Ocak 2020).</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251. Mahkeme bu bağlamda, davalı bir Devlet’in yasama erkinin verili bir alanı düzenlemek için seçtiği metotların uygunluğu hakkında görüş ifade etmenin kendisine düşmediğini tekrarlamaktadır. Mahkeme’nin görevi, benimsenen metotların ve bunların etkilerinin Sözleşme ile uyum içinde olup olmadığını değerlendirmek ile sınırlandırılmıştır</w:t>
      </w:r>
      <w:r w:rsidRPr="003D5488">
        <w:rPr>
          <w:rFonts w:ascii="Times New Roman" w:hAnsi="Times New Roman" w:cs="Times New Roman"/>
          <w:sz w:val="24"/>
          <w:szCs w:val="24"/>
        </w:rPr>
        <w:t xml:space="preserve"> </w:t>
      </w:r>
      <w:r w:rsidRPr="003D5488">
        <w:rPr>
          <w:rFonts w:ascii="Times New Roman" w:eastAsia="Times New Roman" w:hAnsi="Times New Roman" w:cs="Times New Roman"/>
          <w:iCs/>
          <w:sz w:val="24"/>
          <w:szCs w:val="24"/>
          <w:lang w:eastAsia="tr-TR"/>
        </w:rPr>
        <w:t xml:space="preserve">(bakınız </w:t>
      </w:r>
      <w:proofErr w:type="spellStart"/>
      <w:r w:rsidRPr="003D5488">
        <w:rPr>
          <w:rFonts w:ascii="Times New Roman" w:eastAsia="Times New Roman" w:hAnsi="Times New Roman" w:cs="Times New Roman"/>
          <w:i/>
          <w:iCs/>
          <w:sz w:val="24"/>
          <w:szCs w:val="24"/>
          <w:lang w:eastAsia="tr-TR"/>
        </w:rPr>
        <w:t>Magyar</w:t>
      </w:r>
      <w:proofErr w:type="spellEnd"/>
      <w:r w:rsidRPr="003D5488">
        <w:rPr>
          <w:rFonts w:ascii="Times New Roman" w:eastAsia="Times New Roman" w:hAnsi="Times New Roman" w:cs="Times New Roman"/>
          <w:i/>
          <w:iCs/>
          <w:sz w:val="24"/>
          <w:szCs w:val="24"/>
          <w:lang w:eastAsia="tr-TR"/>
        </w:rPr>
        <w:t xml:space="preserve"> Helsinki </w:t>
      </w:r>
      <w:proofErr w:type="spellStart"/>
      <w:r w:rsidRPr="003D5488">
        <w:rPr>
          <w:rFonts w:ascii="Times New Roman" w:eastAsia="Times New Roman" w:hAnsi="Times New Roman" w:cs="Times New Roman"/>
          <w:i/>
          <w:iCs/>
          <w:sz w:val="24"/>
          <w:szCs w:val="24"/>
          <w:lang w:eastAsia="tr-TR"/>
        </w:rPr>
        <w:t>Bizottság</w:t>
      </w:r>
      <w:proofErr w:type="spellEnd"/>
      <w:r w:rsidRPr="003D5488">
        <w:rPr>
          <w:rFonts w:ascii="Times New Roman" w:eastAsia="Times New Roman" w:hAnsi="Times New Roman" w:cs="Times New Roman"/>
          <w:i/>
          <w:iCs/>
          <w:sz w:val="24"/>
          <w:szCs w:val="24"/>
          <w:lang w:eastAsia="tr-TR"/>
        </w:rPr>
        <w:t xml:space="preserve"> v. Macaristan </w:t>
      </w:r>
      <w:r w:rsidRPr="003D5488">
        <w:rPr>
          <w:rFonts w:ascii="Times New Roman" w:eastAsia="Times New Roman" w:hAnsi="Times New Roman" w:cs="Times New Roman"/>
          <w:iCs/>
          <w:sz w:val="24"/>
          <w:szCs w:val="24"/>
          <w:lang w:eastAsia="tr-TR"/>
        </w:rPr>
        <w:t xml:space="preserve">[BD], </w:t>
      </w:r>
      <w:proofErr w:type="spellStart"/>
      <w:r w:rsidRPr="003D5488">
        <w:rPr>
          <w:rFonts w:ascii="Times New Roman" w:eastAsia="Times New Roman" w:hAnsi="Times New Roman" w:cs="Times New Roman"/>
          <w:iCs/>
          <w:sz w:val="24"/>
          <w:szCs w:val="24"/>
          <w:lang w:eastAsia="tr-TR"/>
        </w:rPr>
        <w:t>no</w:t>
      </w:r>
      <w:proofErr w:type="spellEnd"/>
      <w:r w:rsidRPr="003D5488">
        <w:rPr>
          <w:rFonts w:ascii="Times New Roman" w:eastAsia="Times New Roman" w:hAnsi="Times New Roman" w:cs="Times New Roman"/>
          <w:iCs/>
          <w:sz w:val="24"/>
          <w:szCs w:val="24"/>
          <w:lang w:eastAsia="tr-TR"/>
        </w:rPr>
        <w:t>. 18030/11, § 184, 8 Kasım 2016).</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252. Mahkeme, Sözleşme’nin 34. maddesi kapsamındaki bireysel başvuru davalarında görevinin soyut bir şekilde yerel hukuku değerlendirmek olmadığını, bu hukukun uygulanmasının başvurucunun Sözleşme haklarını ihlal edip etmediğini belirlemek olduğunu ayrıca </w:t>
      </w:r>
      <w:r w:rsidRPr="003D5488">
        <w:rPr>
          <w:rFonts w:ascii="Times New Roman" w:eastAsia="Times New Roman" w:hAnsi="Times New Roman" w:cs="Times New Roman"/>
          <w:iCs/>
          <w:sz w:val="24"/>
          <w:szCs w:val="24"/>
          <w:lang w:eastAsia="tr-TR"/>
        </w:rPr>
        <w:lastRenderedPageBreak/>
        <w:t xml:space="preserve">doğrulamaktadır (bakınız </w:t>
      </w:r>
      <w:proofErr w:type="spellStart"/>
      <w:r w:rsidRPr="003D5488">
        <w:rPr>
          <w:rFonts w:ascii="Times New Roman" w:eastAsia="Times New Roman" w:hAnsi="Times New Roman" w:cs="Times New Roman"/>
          <w:i/>
          <w:iCs/>
          <w:sz w:val="24"/>
          <w:szCs w:val="24"/>
          <w:lang w:eastAsia="tr-TR"/>
        </w:rPr>
        <w:t>Magyar</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Kétfarkú</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Kutya</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Párt</w:t>
      </w:r>
      <w:proofErr w:type="spellEnd"/>
      <w:r w:rsidRPr="003D5488">
        <w:rPr>
          <w:rFonts w:ascii="Times New Roman" w:eastAsia="Times New Roman" w:hAnsi="Times New Roman" w:cs="Times New Roman"/>
          <w:iCs/>
          <w:sz w:val="24"/>
          <w:szCs w:val="24"/>
          <w:lang w:eastAsia="tr-TR"/>
        </w:rPr>
        <w:t>, yukarıda anılan, § 96).</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253. Mahkeme, tam sınırda bulunan olgularla ilgili şüphe seviyesinin, bir kanun hükmünü uygulama alanında kendiliğinden öngörülemez kılmayacağı kanaatindedir. Ayrıca bir kanun hükmünün birden fazla kurucu anlamda olabilmesi, tek başına “öngörülebilirlik” gerekliliğinin karşılanmadığı anlamına gelmemektedir. Mahkemelere ait muhakeme rolü, tam da kalan bu yorumsal şüpheleri, günlük pratikteki değişimleri de göz önünde tutarak, tam olarak giderme amacıyla mevcuttur</w:t>
      </w:r>
      <w:r w:rsidRPr="003D5488">
        <w:rPr>
          <w:rFonts w:ascii="Times New Roman" w:hAnsi="Times New Roman" w:cs="Times New Roman"/>
          <w:sz w:val="24"/>
          <w:szCs w:val="24"/>
        </w:rPr>
        <w:t xml:space="preserve"> </w:t>
      </w:r>
      <w:r w:rsidRPr="003D5488">
        <w:rPr>
          <w:rFonts w:ascii="Times New Roman" w:eastAsia="Times New Roman" w:hAnsi="Times New Roman" w:cs="Times New Roman"/>
          <w:iCs/>
          <w:sz w:val="24"/>
          <w:szCs w:val="24"/>
          <w:lang w:eastAsia="tr-TR"/>
        </w:rPr>
        <w:t xml:space="preserve">(bakınız </w:t>
      </w:r>
      <w:proofErr w:type="spellStart"/>
      <w:r w:rsidRPr="003D5488">
        <w:rPr>
          <w:rFonts w:ascii="Times New Roman" w:eastAsia="Times New Roman" w:hAnsi="Times New Roman" w:cs="Times New Roman"/>
          <w:i/>
          <w:iCs/>
          <w:sz w:val="24"/>
          <w:szCs w:val="24"/>
          <w:lang w:eastAsia="tr-TR"/>
        </w:rPr>
        <w:t>Gorzelik</w:t>
      </w:r>
      <w:proofErr w:type="spellEnd"/>
      <w:r w:rsidRPr="003D5488">
        <w:rPr>
          <w:rFonts w:ascii="Times New Roman" w:eastAsia="Times New Roman" w:hAnsi="Times New Roman" w:cs="Times New Roman"/>
          <w:i/>
          <w:iCs/>
          <w:sz w:val="24"/>
          <w:szCs w:val="24"/>
          <w:lang w:eastAsia="tr-TR"/>
        </w:rPr>
        <w:t xml:space="preserve"> ve Diğerleri v. </w:t>
      </w:r>
      <w:proofErr w:type="spellStart"/>
      <w:r w:rsidRPr="003D5488">
        <w:rPr>
          <w:rFonts w:ascii="Times New Roman" w:eastAsia="Times New Roman" w:hAnsi="Times New Roman" w:cs="Times New Roman"/>
          <w:i/>
          <w:iCs/>
          <w:sz w:val="24"/>
          <w:szCs w:val="24"/>
          <w:lang w:eastAsia="tr-TR"/>
        </w:rPr>
        <w:t>Polanya</w:t>
      </w:r>
      <w:proofErr w:type="spellEnd"/>
      <w:r w:rsidRPr="003D5488">
        <w:rPr>
          <w:rFonts w:ascii="Times New Roman" w:eastAsia="Times New Roman" w:hAnsi="Times New Roman" w:cs="Times New Roman"/>
          <w:i/>
          <w:iCs/>
          <w:sz w:val="24"/>
          <w:szCs w:val="24"/>
          <w:lang w:eastAsia="tr-TR"/>
        </w:rPr>
        <w:t xml:space="preserve"> </w:t>
      </w:r>
      <w:r w:rsidRPr="003D5488">
        <w:rPr>
          <w:rFonts w:ascii="Times New Roman" w:eastAsia="Times New Roman" w:hAnsi="Times New Roman" w:cs="Times New Roman"/>
          <w:iCs/>
          <w:sz w:val="24"/>
          <w:szCs w:val="24"/>
          <w:lang w:eastAsia="tr-TR"/>
        </w:rPr>
        <w:t xml:space="preserve">[BD], </w:t>
      </w:r>
      <w:proofErr w:type="spellStart"/>
      <w:r w:rsidRPr="003D5488">
        <w:rPr>
          <w:rFonts w:ascii="Times New Roman" w:eastAsia="Times New Roman" w:hAnsi="Times New Roman" w:cs="Times New Roman"/>
          <w:iCs/>
          <w:sz w:val="24"/>
          <w:szCs w:val="24"/>
          <w:lang w:eastAsia="tr-TR"/>
        </w:rPr>
        <w:t>no</w:t>
      </w:r>
      <w:proofErr w:type="spellEnd"/>
      <w:r w:rsidRPr="003D5488">
        <w:rPr>
          <w:rFonts w:ascii="Times New Roman" w:eastAsia="Times New Roman" w:hAnsi="Times New Roman" w:cs="Times New Roman"/>
          <w:iCs/>
          <w:sz w:val="24"/>
          <w:szCs w:val="24"/>
          <w:lang w:eastAsia="tr-TR"/>
        </w:rPr>
        <w:t xml:space="preserve">. 44158/98, § 65, ECHR 2004-I). Aynı zamanda, Mahkeme verili bir hukuk normunun ilk defa uygulanacağı bir günün de geleceğinin farkındadır (bakınız </w:t>
      </w:r>
      <w:proofErr w:type="spellStart"/>
      <w:r w:rsidRPr="003D5488">
        <w:rPr>
          <w:rFonts w:ascii="Times New Roman" w:eastAsia="Times New Roman" w:hAnsi="Times New Roman" w:cs="Times New Roman"/>
          <w:i/>
          <w:iCs/>
          <w:sz w:val="24"/>
          <w:szCs w:val="24"/>
          <w:lang w:eastAsia="tr-TR"/>
        </w:rPr>
        <w:t>Magyar</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Kétfarkú</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Kutya</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Párt</w:t>
      </w:r>
      <w:proofErr w:type="spellEnd"/>
      <w:r w:rsidRPr="003D5488">
        <w:rPr>
          <w:rFonts w:ascii="Times New Roman" w:eastAsia="Times New Roman" w:hAnsi="Times New Roman" w:cs="Times New Roman"/>
          <w:iCs/>
          <w:sz w:val="24"/>
          <w:szCs w:val="24"/>
          <w:lang w:eastAsia="tr-TR"/>
        </w:rPr>
        <w:t>, yukarıda anılan, § 97).</w:t>
      </w:r>
    </w:p>
    <w:p w:rsidR="002C4924" w:rsidRDefault="002C4924" w:rsidP="007D661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254. Öngörülebilirlik kavramıyla ilgili olarak, kavramın kapsamı büyük ölçüde söz konusu hukuk enstrümanının içeriği, düzenlemek için tasarlandığı alan ve enstrümana muhatap olanların sayısı ve statülerine dayanmaktadır (bakınız </w:t>
      </w:r>
      <w:proofErr w:type="spellStart"/>
      <w:r w:rsidRPr="003D5488">
        <w:rPr>
          <w:rFonts w:ascii="Times New Roman" w:eastAsia="Times New Roman" w:hAnsi="Times New Roman" w:cs="Times New Roman"/>
          <w:i/>
          <w:iCs/>
          <w:sz w:val="24"/>
          <w:szCs w:val="24"/>
          <w:lang w:eastAsia="tr-TR"/>
        </w:rPr>
        <w:t>Centro</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Europa</w:t>
      </w:r>
      <w:proofErr w:type="spellEnd"/>
      <w:r w:rsidRPr="003D5488">
        <w:rPr>
          <w:rFonts w:ascii="Times New Roman" w:eastAsia="Times New Roman" w:hAnsi="Times New Roman" w:cs="Times New Roman"/>
          <w:i/>
          <w:iCs/>
          <w:sz w:val="24"/>
          <w:szCs w:val="24"/>
          <w:lang w:eastAsia="tr-TR"/>
        </w:rPr>
        <w:t xml:space="preserve"> 7 </w:t>
      </w:r>
      <w:proofErr w:type="spellStart"/>
      <w:r w:rsidRPr="003D5488">
        <w:rPr>
          <w:rFonts w:ascii="Times New Roman" w:eastAsia="Times New Roman" w:hAnsi="Times New Roman" w:cs="Times New Roman"/>
          <w:i/>
          <w:iCs/>
          <w:sz w:val="24"/>
          <w:szCs w:val="24"/>
          <w:lang w:eastAsia="tr-TR"/>
        </w:rPr>
        <w:t>S.r.l</w:t>
      </w:r>
      <w:proofErr w:type="spellEnd"/>
      <w:r w:rsidRPr="003D5488">
        <w:rPr>
          <w:rFonts w:ascii="Times New Roman" w:eastAsia="Times New Roman" w:hAnsi="Times New Roman" w:cs="Times New Roman"/>
          <w:i/>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Di</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Stefano</w:t>
      </w:r>
      <w:proofErr w:type="spellEnd"/>
      <w:r w:rsidRPr="003D5488">
        <w:rPr>
          <w:rFonts w:ascii="Times New Roman" w:eastAsia="Times New Roman" w:hAnsi="Times New Roman" w:cs="Times New Roman"/>
          <w:iCs/>
          <w:sz w:val="24"/>
          <w:szCs w:val="24"/>
          <w:lang w:eastAsia="tr-TR"/>
        </w:rPr>
        <w:t xml:space="preserve">, yukarıda anılan, § 142; </w:t>
      </w:r>
      <w:proofErr w:type="spellStart"/>
      <w:r w:rsidRPr="003D5488">
        <w:rPr>
          <w:rFonts w:ascii="Times New Roman" w:eastAsia="Times New Roman" w:hAnsi="Times New Roman" w:cs="Times New Roman"/>
          <w:i/>
          <w:iCs/>
          <w:sz w:val="24"/>
          <w:szCs w:val="24"/>
          <w:lang w:eastAsia="tr-TR"/>
        </w:rPr>
        <w:t>Delfi</w:t>
      </w:r>
      <w:proofErr w:type="spellEnd"/>
      <w:r w:rsidRPr="003D5488">
        <w:rPr>
          <w:rFonts w:ascii="Times New Roman" w:eastAsia="Times New Roman" w:hAnsi="Times New Roman" w:cs="Times New Roman"/>
          <w:i/>
          <w:iCs/>
          <w:sz w:val="24"/>
          <w:szCs w:val="24"/>
          <w:lang w:eastAsia="tr-TR"/>
        </w:rPr>
        <w:t xml:space="preserve"> AS</w:t>
      </w:r>
      <w:r w:rsidRPr="003D5488">
        <w:rPr>
          <w:rFonts w:ascii="Times New Roman" w:eastAsia="Times New Roman" w:hAnsi="Times New Roman" w:cs="Times New Roman"/>
          <w:iCs/>
          <w:sz w:val="24"/>
          <w:szCs w:val="24"/>
          <w:lang w:eastAsia="tr-TR"/>
        </w:rPr>
        <w:t>, yukarıda anılan, §</w:t>
      </w:r>
      <w:r w:rsidRPr="003D5488">
        <w:rPr>
          <w:rFonts w:ascii="Times New Roman" w:eastAsia="Times New Roman" w:hAnsi="Times New Roman" w:cs="Times New Roman"/>
          <w:i/>
          <w:iCs/>
          <w:sz w:val="24"/>
          <w:szCs w:val="24"/>
          <w:lang w:eastAsia="tr-TR"/>
        </w:rPr>
        <w:t xml:space="preserve"> </w:t>
      </w:r>
      <w:proofErr w:type="gramStart"/>
      <w:r w:rsidRPr="003D5488">
        <w:rPr>
          <w:rFonts w:ascii="Times New Roman" w:eastAsia="Times New Roman" w:hAnsi="Times New Roman" w:cs="Times New Roman"/>
          <w:iCs/>
          <w:sz w:val="24"/>
          <w:szCs w:val="24"/>
          <w:lang w:eastAsia="tr-TR"/>
        </w:rPr>
        <w:t>122;</w:t>
      </w:r>
      <w:proofErr w:type="gramEnd"/>
      <w:r w:rsidRPr="003D5488">
        <w:rPr>
          <w:rFonts w:ascii="Times New Roman" w:eastAsia="Times New Roman" w:hAnsi="Times New Roman" w:cs="Times New Roman"/>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Satakunnan</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Markkinapörssi</w:t>
      </w:r>
      <w:proofErr w:type="spellEnd"/>
      <w:r w:rsidRPr="003D5488">
        <w:rPr>
          <w:rFonts w:ascii="Times New Roman" w:eastAsia="Times New Roman" w:hAnsi="Times New Roman" w:cs="Times New Roman"/>
          <w:i/>
          <w:iCs/>
          <w:sz w:val="24"/>
          <w:szCs w:val="24"/>
          <w:lang w:eastAsia="tr-TR"/>
        </w:rPr>
        <w:t xml:space="preserve"> Oy ve </w:t>
      </w:r>
      <w:proofErr w:type="spellStart"/>
      <w:r w:rsidRPr="003D5488">
        <w:rPr>
          <w:rFonts w:ascii="Times New Roman" w:eastAsia="Times New Roman" w:hAnsi="Times New Roman" w:cs="Times New Roman"/>
          <w:i/>
          <w:iCs/>
          <w:sz w:val="24"/>
          <w:szCs w:val="24"/>
          <w:lang w:eastAsia="tr-TR"/>
        </w:rPr>
        <w:t>Satamedia</w:t>
      </w:r>
      <w:proofErr w:type="spellEnd"/>
      <w:r w:rsidRPr="003D5488">
        <w:rPr>
          <w:rFonts w:ascii="Times New Roman" w:eastAsia="Times New Roman" w:hAnsi="Times New Roman" w:cs="Times New Roman"/>
          <w:i/>
          <w:iCs/>
          <w:sz w:val="24"/>
          <w:szCs w:val="24"/>
          <w:lang w:eastAsia="tr-TR"/>
        </w:rPr>
        <w:t xml:space="preserve"> Oy v. Finlandiya </w:t>
      </w:r>
      <w:r w:rsidRPr="003D5488">
        <w:rPr>
          <w:rFonts w:ascii="Times New Roman" w:eastAsia="Times New Roman" w:hAnsi="Times New Roman" w:cs="Times New Roman"/>
          <w:iCs/>
          <w:sz w:val="24"/>
          <w:szCs w:val="24"/>
          <w:lang w:eastAsia="tr-TR"/>
        </w:rPr>
        <w:t>[BD],</w:t>
      </w:r>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Cs/>
          <w:sz w:val="24"/>
          <w:szCs w:val="24"/>
          <w:lang w:eastAsia="tr-TR"/>
        </w:rPr>
        <w:t>no</w:t>
      </w:r>
      <w:proofErr w:type="spellEnd"/>
      <w:r w:rsidRPr="003D5488">
        <w:rPr>
          <w:rFonts w:ascii="Times New Roman" w:eastAsia="Times New Roman" w:hAnsi="Times New Roman" w:cs="Times New Roman"/>
          <w:iCs/>
          <w:sz w:val="24"/>
          <w:szCs w:val="24"/>
          <w:lang w:eastAsia="tr-TR"/>
        </w:rPr>
        <w:t xml:space="preserve">. 931/13, § 144, 27 Haziran 2017). </w:t>
      </w:r>
      <w:proofErr w:type="gramStart"/>
      <w:r w:rsidRPr="003D5488">
        <w:rPr>
          <w:rFonts w:ascii="Times New Roman" w:eastAsia="Times New Roman" w:hAnsi="Times New Roman" w:cs="Times New Roman"/>
          <w:iCs/>
          <w:sz w:val="24"/>
          <w:szCs w:val="24"/>
          <w:lang w:eastAsia="tr-TR"/>
        </w:rPr>
        <w:t xml:space="preserve">Bununla birlikte kanun niteliği, yerel hukukta bireylerin koşullara ilişkin uygun belirtileri yeterince öngörebilmesi ve yetkililerin Sözleşme altındaki haklarına müdahalede bulunmak için başvurabilecekleri yolları önceden bilmesi anlamlarına gelmektedir (bakınız </w:t>
      </w:r>
      <w:proofErr w:type="spellStart"/>
      <w:r w:rsidRPr="003D5488">
        <w:rPr>
          <w:rFonts w:ascii="Times New Roman" w:eastAsia="Times New Roman" w:hAnsi="Times New Roman" w:cs="Times New Roman"/>
          <w:i/>
          <w:iCs/>
          <w:sz w:val="24"/>
          <w:szCs w:val="24"/>
          <w:lang w:eastAsia="tr-TR"/>
        </w:rPr>
        <w:t>Fernández</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Martínez</w:t>
      </w:r>
      <w:proofErr w:type="spellEnd"/>
      <w:r w:rsidRPr="003D5488">
        <w:rPr>
          <w:rFonts w:ascii="Times New Roman" w:eastAsia="Times New Roman" w:hAnsi="Times New Roman" w:cs="Times New Roman"/>
          <w:i/>
          <w:iCs/>
          <w:sz w:val="24"/>
          <w:szCs w:val="24"/>
          <w:lang w:eastAsia="tr-TR"/>
        </w:rPr>
        <w:t xml:space="preserve"> v. İspanya </w:t>
      </w:r>
      <w:r w:rsidRPr="003D5488">
        <w:rPr>
          <w:rFonts w:ascii="Times New Roman" w:eastAsia="Times New Roman" w:hAnsi="Times New Roman" w:cs="Times New Roman"/>
          <w:iCs/>
          <w:sz w:val="24"/>
          <w:szCs w:val="24"/>
          <w:lang w:eastAsia="tr-TR"/>
        </w:rPr>
        <w:t xml:space="preserve">[BD], </w:t>
      </w:r>
      <w:proofErr w:type="spellStart"/>
      <w:r w:rsidRPr="003D5488">
        <w:rPr>
          <w:rFonts w:ascii="Times New Roman" w:eastAsia="Times New Roman" w:hAnsi="Times New Roman" w:cs="Times New Roman"/>
          <w:iCs/>
          <w:sz w:val="24"/>
          <w:szCs w:val="24"/>
          <w:lang w:eastAsia="tr-TR"/>
        </w:rPr>
        <w:t>no</w:t>
      </w:r>
      <w:proofErr w:type="spellEnd"/>
      <w:r w:rsidRPr="003D5488">
        <w:rPr>
          <w:rFonts w:ascii="Times New Roman" w:eastAsia="Times New Roman" w:hAnsi="Times New Roman" w:cs="Times New Roman"/>
          <w:iCs/>
          <w:sz w:val="24"/>
          <w:szCs w:val="24"/>
          <w:lang w:eastAsia="tr-TR"/>
        </w:rPr>
        <w:t>. 56030/07, § 117, ECHR 2014 (</w:t>
      </w:r>
      <w:proofErr w:type="spellStart"/>
      <w:r w:rsidRPr="003D5488">
        <w:rPr>
          <w:rFonts w:ascii="Times New Roman" w:eastAsia="Times New Roman" w:hAnsi="Times New Roman" w:cs="Times New Roman"/>
          <w:iCs/>
          <w:sz w:val="24"/>
          <w:szCs w:val="24"/>
          <w:lang w:eastAsia="tr-TR"/>
        </w:rPr>
        <w:t>extracts</w:t>
      </w:r>
      <w:proofErr w:type="spellEnd"/>
      <w:r w:rsidRPr="003D5488">
        <w:rPr>
          <w:rFonts w:ascii="Times New Roman" w:eastAsia="Times New Roman" w:hAnsi="Times New Roman" w:cs="Times New Roman"/>
          <w:iCs/>
          <w:sz w:val="24"/>
          <w:szCs w:val="24"/>
          <w:lang w:eastAsia="tr-TR"/>
        </w:rPr>
        <w:t xml:space="preserve">), ve </w:t>
      </w:r>
      <w:r w:rsidRPr="003D5488">
        <w:rPr>
          <w:rFonts w:ascii="Times New Roman" w:eastAsia="Times New Roman" w:hAnsi="Times New Roman" w:cs="Times New Roman"/>
          <w:i/>
          <w:iCs/>
          <w:sz w:val="24"/>
          <w:szCs w:val="24"/>
          <w:lang w:eastAsia="tr-TR"/>
        </w:rPr>
        <w:t>Güler ve Uğur v. Türkiye</w:t>
      </w:r>
      <w:r w:rsidRPr="003D5488">
        <w:rPr>
          <w:rFonts w:ascii="Times New Roman" w:eastAsia="Times New Roman" w:hAnsi="Times New Roman" w:cs="Times New Roman"/>
          <w:iCs/>
          <w:sz w:val="24"/>
          <w:szCs w:val="24"/>
          <w:lang w:eastAsia="tr-TR"/>
        </w:rPr>
        <w:t xml:space="preserve">, </w:t>
      </w:r>
      <w:proofErr w:type="spellStart"/>
      <w:r w:rsidRPr="003D5488">
        <w:rPr>
          <w:rFonts w:ascii="Times New Roman" w:eastAsia="Times New Roman" w:hAnsi="Times New Roman" w:cs="Times New Roman"/>
          <w:iCs/>
          <w:sz w:val="24"/>
          <w:szCs w:val="24"/>
          <w:lang w:eastAsia="tr-TR"/>
        </w:rPr>
        <w:t>no</w:t>
      </w:r>
      <w:proofErr w:type="spellEnd"/>
      <w:r w:rsidRPr="003D5488">
        <w:rPr>
          <w:rFonts w:ascii="Times New Roman" w:eastAsia="Times New Roman" w:hAnsi="Times New Roman" w:cs="Times New Roman"/>
          <w:iCs/>
          <w:sz w:val="24"/>
          <w:szCs w:val="24"/>
          <w:lang w:eastAsia="tr-TR"/>
        </w:rPr>
        <w:t>. 31706/10 ve 33088/10, § 47, 2 Aralık 2014).</w:t>
      </w:r>
      <w:proofErr w:type="gramEnd"/>
    </w:p>
    <w:p w:rsidR="00DA1D16" w:rsidRPr="007D6614" w:rsidRDefault="00DA1D16" w:rsidP="00DA1D16">
      <w:pPr>
        <w:shd w:val="clear" w:color="auto" w:fill="FFFFFF"/>
        <w:spacing w:after="0" w:line="276" w:lineRule="auto"/>
        <w:jc w:val="both"/>
        <w:rPr>
          <w:rFonts w:ascii="Times New Roman" w:eastAsia="Times New Roman" w:hAnsi="Times New Roman" w:cs="Times New Roman"/>
          <w:iCs/>
          <w:sz w:val="24"/>
          <w:szCs w:val="24"/>
          <w:lang w:eastAsia="tr-TR"/>
        </w:rPr>
      </w:pPr>
    </w:p>
    <w:p w:rsidR="002C4924" w:rsidRPr="003D5488" w:rsidRDefault="002C4924" w:rsidP="00DB7842">
      <w:pPr>
        <w:pStyle w:val="Balk4"/>
        <w:rPr>
          <w:color w:val="auto"/>
        </w:rPr>
      </w:pPr>
      <w:r w:rsidRPr="003D5488">
        <w:rPr>
          <w:color w:val="auto"/>
        </w:rPr>
        <w:t>Yukarıda anılan ilkelerin mevcut davaya uygulanması</w:t>
      </w:r>
    </w:p>
    <w:p w:rsidR="002C4924" w:rsidRPr="003D5488" w:rsidRDefault="002C4924" w:rsidP="002C4924">
      <w:pPr>
        <w:shd w:val="clear" w:color="auto" w:fill="FFFFFF"/>
        <w:tabs>
          <w:tab w:val="left" w:pos="720"/>
        </w:tabs>
        <w:spacing w:after="0" w:line="276" w:lineRule="auto"/>
        <w:ind w:left="810"/>
        <w:jc w:val="both"/>
        <w:rPr>
          <w:rFonts w:ascii="Times New Roman" w:eastAsia="Times New Roman" w:hAnsi="Times New Roman" w:cs="Times New Roman"/>
          <w:i/>
          <w:szCs w:val="24"/>
          <w:lang w:eastAsia="tr-TR"/>
        </w:rPr>
      </w:pPr>
    </w:p>
    <w:p w:rsidR="002C4924" w:rsidRDefault="002C4924" w:rsidP="00BA3D28">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255. Mevcut davada Mahkeme ilk olarak, başvurucu tutuklandığı sırada bütün mevzuat hükümlerinin, açıkça ifade etmek gerekirse Anayasa’nın, anayasa değişikliklerinin, Ceza Muhakemesi Kanunu’nun ve savcının başvurucunun mahkûm edilmesini talep etmesine temel olan mevzuatın erişilebilir olduğu hususunda tarafların mutabık olduğunu gözlemlemektedir. 20 Mayıs 2016 tarihli anayasa değişikliğini takiben, başvurucunun Ceza Muhakemesi Kanunu’nun 100. ve devamı maddelerindeki hükümler uyarınca tutuklanması hususu uyuşmazlığa konu değildir. Tarafların </w:t>
      </w:r>
      <w:proofErr w:type="gramStart"/>
      <w:r w:rsidRPr="003D5488">
        <w:rPr>
          <w:rFonts w:ascii="Times New Roman" w:eastAsia="Times New Roman" w:hAnsi="Times New Roman" w:cs="Times New Roman"/>
          <w:iCs/>
          <w:sz w:val="24"/>
          <w:szCs w:val="24"/>
          <w:lang w:eastAsia="tr-TR"/>
        </w:rPr>
        <w:t>argümanları</w:t>
      </w:r>
      <w:proofErr w:type="gramEnd"/>
      <w:r w:rsidRPr="003D5488">
        <w:rPr>
          <w:rFonts w:ascii="Times New Roman" w:eastAsia="Times New Roman" w:hAnsi="Times New Roman" w:cs="Times New Roman"/>
          <w:iCs/>
          <w:sz w:val="24"/>
          <w:szCs w:val="24"/>
          <w:lang w:eastAsia="tr-TR"/>
        </w:rPr>
        <w:t xml:space="preserve"> ve pozisyonlarının farklılaştığı konu, söz konusu anayasa değişikliğinin ve silahlı terör örgütü kurma ve/veya yönetmeye ilişkin Ceza Kanunu hükümlerinin bu dava özelinde “kanun </w:t>
      </w:r>
      <w:r w:rsidRPr="003D5488">
        <w:rPr>
          <w:rFonts w:ascii="Times New Roman" w:eastAsia="Times New Roman" w:hAnsi="Times New Roman" w:cs="Times New Roman"/>
          <w:iCs/>
          <w:sz w:val="24"/>
          <w:szCs w:val="24"/>
          <w:lang w:eastAsia="tr-TR"/>
        </w:rPr>
        <w:lastRenderedPageBreak/>
        <w:t>niteliği” şartını taşıyıp taşımadığı üzerinedir. Mahkeme bu sebeple, her iki bakımdan da, başvurucunun ifade özgürlüğüne yapılan müdahalenin “kanunla öngörülme” şartını taşıyıp taşımadığını değerlendirmelidir. Mahkeme işbu davada özel olarak, ulusal hukukun yorumlanma ve uygulanmasının başvurucunun yargılanmasına sebep olan konuşmaların yapıldığı zamanlarda öngörülür olup olmadığını</w:t>
      </w:r>
      <w:r w:rsidR="00BA3D28" w:rsidRPr="003D5488">
        <w:rPr>
          <w:rFonts w:ascii="Times New Roman" w:eastAsia="Times New Roman" w:hAnsi="Times New Roman" w:cs="Times New Roman"/>
          <w:iCs/>
          <w:sz w:val="24"/>
          <w:szCs w:val="24"/>
          <w:lang w:eastAsia="tr-TR"/>
        </w:rPr>
        <w:t xml:space="preserve"> inceleyecektir.</w:t>
      </w:r>
    </w:p>
    <w:p w:rsidR="00DA1D16" w:rsidRPr="003D5488" w:rsidRDefault="00DA1D16" w:rsidP="00BA3D28">
      <w:pPr>
        <w:shd w:val="clear" w:color="auto" w:fill="FFFFFF"/>
        <w:spacing w:after="0" w:line="276" w:lineRule="auto"/>
        <w:ind w:firstLine="284"/>
        <w:jc w:val="both"/>
        <w:rPr>
          <w:rFonts w:ascii="Times New Roman" w:eastAsia="Times New Roman" w:hAnsi="Times New Roman" w:cs="Times New Roman"/>
          <w:iCs/>
          <w:sz w:val="24"/>
          <w:szCs w:val="24"/>
          <w:lang w:eastAsia="tr-TR"/>
        </w:rPr>
      </w:pPr>
    </w:p>
    <w:p w:rsidR="002C4924" w:rsidRPr="003D5488" w:rsidRDefault="002C4924" w:rsidP="00DB7842">
      <w:pPr>
        <w:pStyle w:val="Balk5"/>
        <w:rPr>
          <w:color w:val="auto"/>
        </w:rPr>
      </w:pPr>
      <w:r w:rsidRPr="003D5488">
        <w:rPr>
          <w:color w:val="auto"/>
        </w:rPr>
        <w:t>Yasama dokunulmazlığı</w:t>
      </w:r>
    </w:p>
    <w:p w:rsidR="002C4924" w:rsidRPr="003D5488" w:rsidRDefault="002C4924" w:rsidP="002C4924">
      <w:pPr>
        <w:shd w:val="clear" w:color="auto" w:fill="FFFFFF"/>
        <w:tabs>
          <w:tab w:val="left" w:pos="720"/>
        </w:tabs>
        <w:spacing w:after="0" w:line="276" w:lineRule="auto"/>
        <w:jc w:val="both"/>
        <w:rPr>
          <w:rFonts w:ascii="Times New Roman" w:eastAsia="Times New Roman" w:hAnsi="Times New Roman" w:cs="Times New Roman"/>
          <w:szCs w:val="24"/>
          <w:lang w:eastAsia="tr-TR"/>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iCs/>
          <w:sz w:val="24"/>
          <w:szCs w:val="24"/>
          <w:lang w:eastAsia="tr-TR"/>
        </w:rPr>
        <w:t xml:space="preserve">256. Mahkeme, yasama dokunulmazlığı sistemine içkin karakteristikleri ve bu sistemin halkı temsil eden insanların ifade özgürlüğünü koruma ve meclis fonksiyonlarını partizan şikâyetlerle engelleme amacı taşıması itibarıyla olağan hukukun askıya alındığı bir yapı arz ettiğini tekrarlamaktadır </w:t>
      </w:r>
      <w:r w:rsidRPr="003D5488">
        <w:rPr>
          <w:rFonts w:ascii="Times New Roman" w:eastAsia="Times New Roman" w:hAnsi="Times New Roman" w:cs="Times New Roman"/>
          <w:sz w:val="24"/>
          <w:szCs w:val="24"/>
          <w:lang w:eastAsia="tr-TR"/>
        </w:rPr>
        <w:t xml:space="preserve">(bakınız </w:t>
      </w:r>
      <w:r w:rsidRPr="003D5488">
        <w:rPr>
          <w:rFonts w:ascii="Times New Roman" w:eastAsia="Times New Roman" w:hAnsi="Times New Roman" w:cs="Times New Roman"/>
          <w:i/>
          <w:iCs/>
          <w:sz w:val="24"/>
          <w:szCs w:val="24"/>
          <w:lang w:eastAsia="tr-TR"/>
        </w:rPr>
        <w:t xml:space="preserve">Kart v. Türkiye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8917/05, § 88,</w:t>
      </w:r>
      <w:r w:rsidRPr="003D5488">
        <w:rPr>
          <w:rFonts w:ascii="Times New Roman" w:eastAsia="Times New Roman" w:hAnsi="Times New Roman" w:cs="Times New Roman"/>
          <w:iCs/>
          <w:sz w:val="28"/>
          <w:szCs w:val="24"/>
          <w:lang w:eastAsia="tr-TR"/>
        </w:rPr>
        <w:t xml:space="preserve"> </w:t>
      </w:r>
      <w:r w:rsidRPr="003D5488">
        <w:rPr>
          <w:rFonts w:ascii="Times New Roman" w:eastAsia="Times New Roman" w:hAnsi="Times New Roman" w:cs="Times New Roman"/>
          <w:sz w:val="24"/>
          <w:szCs w:val="24"/>
          <w:lang w:eastAsia="tr-TR"/>
        </w:rPr>
        <w:t>ECHR 2009 (</w:t>
      </w:r>
      <w:proofErr w:type="spellStart"/>
      <w:r w:rsidRPr="003D5488">
        <w:rPr>
          <w:rFonts w:ascii="Times New Roman" w:eastAsia="Times New Roman" w:hAnsi="Times New Roman" w:cs="Times New Roman"/>
          <w:sz w:val="24"/>
          <w:szCs w:val="24"/>
          <w:lang w:eastAsia="tr-TR"/>
        </w:rPr>
        <w:t>extracts</w:t>
      </w:r>
      <w:proofErr w:type="spellEnd"/>
      <w:r w:rsidRPr="003D5488">
        <w:rPr>
          <w:rFonts w:ascii="Times New Roman" w:eastAsia="Times New Roman" w:hAnsi="Times New Roman" w:cs="Times New Roman"/>
          <w:sz w:val="24"/>
          <w:szCs w:val="24"/>
          <w:lang w:eastAsia="tr-TR"/>
        </w:rPr>
        <w:t>)).</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257. Mahkeme ilk olarak, Avrupa Konseyi üyesi devletlerin çoğunda 1982 Anayasası’nın 83. maddesinde olduğu gibi, iki tip yasama bağışıklığı olduğunu gözlemlemektedir: sorumsuzluk ve dokunulmazlık (bakınız </w:t>
      </w:r>
      <w:r w:rsidRPr="003D5488">
        <w:rPr>
          <w:rFonts w:ascii="Times New Roman" w:eastAsia="Times New Roman" w:hAnsi="Times New Roman" w:cs="Times New Roman"/>
          <w:i/>
          <w:iCs/>
          <w:sz w:val="24"/>
          <w:szCs w:val="24"/>
          <w:lang w:eastAsia="tr-TR"/>
        </w:rPr>
        <w:t>Kart</w:t>
      </w:r>
      <w:r w:rsidRPr="003D5488">
        <w:rPr>
          <w:rFonts w:ascii="Times New Roman" w:eastAsia="Times New Roman" w:hAnsi="Times New Roman" w:cs="Times New Roman"/>
          <w:sz w:val="24"/>
          <w:szCs w:val="24"/>
          <w:lang w:eastAsia="tr-TR"/>
        </w:rPr>
        <w:t xml:space="preserve">, yukarıda anılan, §§ 42 ve 85;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w:t>
      </w:r>
      <w:r w:rsidRPr="003D5488">
        <w:rPr>
          <w:rFonts w:ascii="Times New Roman" w:eastAsia="Times New Roman" w:hAnsi="Times New Roman" w:cs="Times New Roman"/>
          <w:sz w:val="24"/>
          <w:szCs w:val="24"/>
          <w:lang w:eastAsia="tr-TR"/>
        </w:rPr>
        <w:t xml:space="preserve">, yukarıda anılan, §§ 138-40 ve </w:t>
      </w:r>
      <w:proofErr w:type="spellStart"/>
      <w:r w:rsidRPr="003D5488">
        <w:rPr>
          <w:rFonts w:ascii="Times New Roman" w:eastAsia="Times New Roman" w:hAnsi="Times New Roman" w:cs="Times New Roman"/>
          <w:i/>
          <w:iCs/>
          <w:sz w:val="24"/>
          <w:szCs w:val="24"/>
          <w:lang w:eastAsia="tr-TR"/>
        </w:rPr>
        <w:t>Pastörs</w:t>
      </w:r>
      <w:proofErr w:type="spellEnd"/>
      <w:r w:rsidRPr="003D5488">
        <w:rPr>
          <w:rFonts w:ascii="Times New Roman" w:eastAsia="Times New Roman" w:hAnsi="Times New Roman" w:cs="Times New Roman"/>
          <w:sz w:val="24"/>
          <w:szCs w:val="24"/>
          <w:lang w:eastAsia="tr-TR"/>
        </w:rPr>
        <w:t>, yukarıda anılan, § 38).</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258. Anayasa’nın 83. maddesinin ilk fıkrası </w:t>
      </w:r>
      <w:r w:rsidR="001302A1">
        <w:rPr>
          <w:rFonts w:ascii="Times New Roman" w:eastAsia="Times New Roman" w:hAnsi="Times New Roman" w:cs="Times New Roman"/>
          <w:sz w:val="24"/>
          <w:szCs w:val="24"/>
          <w:lang w:eastAsia="tr-TR"/>
        </w:rPr>
        <w:t xml:space="preserve">milletvekillerinin </w:t>
      </w:r>
      <w:r w:rsidRPr="003D5488">
        <w:rPr>
          <w:rFonts w:ascii="Times New Roman" w:eastAsia="Times New Roman" w:hAnsi="Times New Roman" w:cs="Times New Roman"/>
          <w:sz w:val="24"/>
          <w:szCs w:val="24"/>
          <w:lang w:eastAsia="tr-TR"/>
        </w:rPr>
        <w:t xml:space="preserve">sorumsuzluğunu ilgilendirmektedir, buna göre </w:t>
      </w:r>
      <w:r w:rsidR="001302A1">
        <w:rPr>
          <w:rFonts w:ascii="Times New Roman" w:eastAsia="Times New Roman" w:hAnsi="Times New Roman" w:cs="Times New Roman"/>
          <w:sz w:val="24"/>
          <w:szCs w:val="24"/>
          <w:lang w:eastAsia="tr-TR"/>
        </w:rPr>
        <w:t>milletvekil</w:t>
      </w:r>
      <w:r w:rsidRPr="003D5488">
        <w:rPr>
          <w:rFonts w:ascii="Times New Roman" w:eastAsia="Times New Roman" w:hAnsi="Times New Roman" w:cs="Times New Roman"/>
          <w:sz w:val="24"/>
          <w:szCs w:val="24"/>
          <w:lang w:eastAsia="tr-TR"/>
        </w:rPr>
        <w:t>leri, Türkiye Büyük Millet Meclisi çalışmalarındaki oy ve sözlerinden, Meclis’te ileri sürdükleri düşüncelerden, o oturumdaki Başkanlık Divanı’nın teklifi üzerine Meclis tarafından başka bir karar alınmadıkça bunları Meclis dışında tekrarlamak ve açığa vurmaktan sorumlu tutulamazlar (bakınız yukarıda 134. paragraf).</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259. Mahkeme yasama sorumsuzluğunun mutlak olduğunu ve hiçbir istisnaya cevaz vermediğini gözlemlemektedir, yasama sorumsuzluğu hiçbir soruşturma tedbirine izin vermemekte ve tarafların duruşmada belirttiği gibi, milletvekillerini görev süreleri sona erdikten sonra da korumaya devam etmektedir. Her iki tarafın da duruşmada belirttiği üzere, Türkiye Büyük Millet Meclisi dışında tekrar edilen siyasi ifadeler, Meclis’te söylenen aynı kelimelerin tekrarlanması olarak kabul edilemez.</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260. Türkiye Büyük Millet Meclisi’nde 20 Mayıs 2016’da kabul edilen geçici 20. madde (bakınız yukarıda 137. paragraf), Anayasa’nın 83. maddesinin ilk fıkrasını değiştirmemiştir. Diğer bir deyişle, anayasa değişikliğinden etkilenen 154 milletvekili, Anayasa’nın 83. maddesinin ilk fıkrasında tanımlanan yasama dokunulmazlığının sağladığı hukuki </w:t>
      </w:r>
      <w:r w:rsidRPr="003D5488">
        <w:rPr>
          <w:rFonts w:ascii="Times New Roman" w:eastAsia="Times New Roman" w:hAnsi="Times New Roman" w:cs="Times New Roman"/>
          <w:sz w:val="24"/>
          <w:szCs w:val="24"/>
          <w:lang w:eastAsia="tr-TR"/>
        </w:rPr>
        <w:lastRenderedPageBreak/>
        <w:t>korumadan faydalanmaya devam etmiştir. Meclis Genel Kurulu tarafından aksi kararlaştırılmadığı takdirde, milletvekilleri meclis çalışmalarındaki oy ve sözlerinden, mecliste ileri sürdükleri düşüncelerden veya bunları Meclis dışında tekrarlamak ve açığa vurmaktan ceza mahkemelerinde sorumlu tutulamazlar.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261. İşbu başvuruda Hükümet, başvurucunun ilgili konuşmalarda öz yönetimi savunduğunu, PKK tarafından yapıldığı iddia edilen terör eylemlerini “öz savunma savaşı” ve “direniş” hareketleri olarak tarif ettiğini ve güvenlik güçlerince yürütülen operasyonları “katliam” olarak nitelendirdiğini ortaya koymuştur. Hükümet ayrıca başvurucunun PKK liderini övdüğünü ve halka sokaklara çıkması için çağrıda bulunduğunu eklemiştir. Başvurucu kendi beyanlarında, benzer konuşmaları Meclis Genel Kurul oturumları sırasında da yaptığını ve bu sebeple söz konusu konuşmaların Anayasa’nın 83. maddesinin 1. fıkrası uyarınca koruma altında olduğunu belirtmiştir. Bu konuyla ilgili olarak Mahkeme, başvurucuya suç olarak isnat edilen ve tutuklanmasına sebep olan konuşmaların Anayasa’nın 83. maddesinin 1. fıkrası uyarınca yasama sorumsuzluğu koruması altında olup olmadığının belirlenmesinin ilk olarak ulusal yetkililerin, özel olarak yerel mahkemelerin görevi olduğu kanaatindedir. Bu bağlantıyla birlikte Mahkeme, her türlü görevin kötüye kullanılması durumunda yerel mahkemelerin yargısal bir denetimde bulunma yönünde </w:t>
      </w:r>
      <w:proofErr w:type="spellStart"/>
      <w:r w:rsidRPr="003D5488">
        <w:rPr>
          <w:rFonts w:ascii="Times New Roman" w:eastAsia="Times New Roman" w:hAnsi="Times New Roman" w:cs="Times New Roman"/>
          <w:sz w:val="24"/>
          <w:szCs w:val="24"/>
          <w:lang w:eastAsia="tr-TR"/>
        </w:rPr>
        <w:t>usuli</w:t>
      </w:r>
      <w:proofErr w:type="spellEnd"/>
      <w:r w:rsidRPr="003D5488">
        <w:rPr>
          <w:rFonts w:ascii="Times New Roman" w:eastAsia="Times New Roman" w:hAnsi="Times New Roman" w:cs="Times New Roman"/>
          <w:sz w:val="24"/>
          <w:szCs w:val="24"/>
          <w:lang w:eastAsia="tr-TR"/>
        </w:rPr>
        <w:t xml:space="preserve"> yükümlülüğü olduğunu tekrarlamaktadır (bakınız </w:t>
      </w:r>
      <w:proofErr w:type="spellStart"/>
      <w:r w:rsidRPr="003D5488">
        <w:rPr>
          <w:rFonts w:ascii="Times New Roman" w:eastAsia="Times New Roman" w:hAnsi="Times New Roman" w:cs="Times New Roman"/>
          <w:i/>
          <w:iCs/>
          <w:sz w:val="24"/>
          <w:szCs w:val="24"/>
          <w:lang w:eastAsia="tr-TR"/>
        </w:rPr>
        <w:t>Karácsony</w:t>
      </w:r>
      <w:proofErr w:type="spellEnd"/>
      <w:r w:rsidRPr="003D5488">
        <w:rPr>
          <w:rFonts w:ascii="Times New Roman" w:eastAsia="Times New Roman" w:hAnsi="Times New Roman" w:cs="Times New Roman"/>
          <w:i/>
          <w:iCs/>
          <w:sz w:val="24"/>
          <w:szCs w:val="24"/>
          <w:lang w:eastAsia="tr-TR"/>
        </w:rPr>
        <w:t xml:space="preserve"> ve Diğerleri,</w:t>
      </w:r>
      <w:r w:rsidRPr="003D5488">
        <w:rPr>
          <w:rFonts w:ascii="Times New Roman" w:eastAsia="Times New Roman" w:hAnsi="Times New Roman" w:cs="Times New Roman"/>
          <w:sz w:val="24"/>
          <w:szCs w:val="24"/>
          <w:lang w:eastAsia="tr-TR"/>
        </w:rPr>
        <w:t xml:space="preserve"> yukarıda anılan, §§ 133-36 ve kararda atıf yapılan diğer kararlar).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sz w:val="24"/>
          <w:szCs w:val="24"/>
          <w:lang w:eastAsia="tr-TR"/>
        </w:rPr>
        <w:t xml:space="preserve">262.  Mevcut davada, Hükümet başvurucunun yargılandığı ulusal mahkemeler önünde hiçbir zaman konuşmalarının Anayasa’nın 83. maddesinin 1. fıkrası uyarınca koruma altında olduğunu belirtmediğini öne sürmüştür. Bununla birlikte, aksine, başvurucu tutukluluğunun başından itibaren 83. maddenin ilk fıkrası uyarınca özgürlüğünden yoksun bırakılmayacağını ifade etmiştir. Bakıldığında sahiden de başvurucunun temel </w:t>
      </w:r>
      <w:proofErr w:type="gramStart"/>
      <w:r w:rsidRPr="003D5488">
        <w:rPr>
          <w:rFonts w:ascii="Times New Roman" w:eastAsia="Times New Roman" w:hAnsi="Times New Roman" w:cs="Times New Roman"/>
          <w:sz w:val="24"/>
          <w:szCs w:val="24"/>
          <w:lang w:eastAsia="tr-TR"/>
        </w:rPr>
        <w:t>argümanlarından</w:t>
      </w:r>
      <w:proofErr w:type="gramEnd"/>
      <w:r w:rsidRPr="003D5488">
        <w:rPr>
          <w:rFonts w:ascii="Times New Roman" w:eastAsia="Times New Roman" w:hAnsi="Times New Roman" w:cs="Times New Roman"/>
          <w:sz w:val="24"/>
          <w:szCs w:val="24"/>
          <w:lang w:eastAsia="tr-TR"/>
        </w:rPr>
        <w:t xml:space="preserve"> birisi budur (bakınız, özel olarak, yukarıda 70. paragraf). Başvurucu bu bağlamda serbest bırakılması için birçok ayrı itirazda bulunmuştur (bakınız, özel olarak, yukarıda 77. ve 80. paragraf). Ek olarak başvurucu, 3 Nisan 2018 tarihinde Ankara 19. Ağır Ceza Mahkemesi’nden meclis oturumları sırasında yaptığı konuşmaları incelemesini ve yargılamaya konu konuşmalarla karşılaştırmasını talep etmiştir. Başvurucu bu amaçla ayrıca bu konuşmaların Anayasa’nın 83. maddesinin ilk fıkrası uyarınca koruma altında olup olmadığının </w:t>
      </w:r>
      <w:r w:rsidRPr="003D5488">
        <w:rPr>
          <w:rFonts w:ascii="Times New Roman" w:eastAsia="Times New Roman" w:hAnsi="Times New Roman" w:cs="Times New Roman"/>
          <w:sz w:val="24"/>
          <w:szCs w:val="24"/>
          <w:lang w:eastAsia="tr-TR"/>
        </w:rPr>
        <w:lastRenderedPageBreak/>
        <w:t xml:space="preserve">belirlenmesi için bilirkişi atanması talebinde bulunmuştur (bakınız yukarıda 91. paragraf). Bununla birlikte taraflarca sunulan belgelere bakıldığında böyle bir incelemenin yapılmadığı görülmektedir. Başvurucunun tutuklanmasına karar veren </w:t>
      </w:r>
      <w:r w:rsidRPr="003D5488">
        <w:rPr>
          <w:rFonts w:ascii="Times New Roman" w:eastAsia="Times New Roman" w:hAnsi="Times New Roman" w:cs="Times New Roman"/>
          <w:iCs/>
          <w:sz w:val="24"/>
          <w:szCs w:val="24"/>
          <w:lang w:eastAsia="tr-TR"/>
        </w:rPr>
        <w:t xml:space="preserve">Diyarbakır 2. Sulh Ceza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liği, anayasa değişikliğinin başvurucunun yasama dokunulmazlığını ilgili suçlar bakımından kaldırdığı yönünde yalnızca basit bir gözlemde bulunmuştur. Anayasa Mahkemesi benzer şekilde 20 Mayıs 2016 tarihli anayasa değişikliklerinin, söz konusu değişikliklerden önce Meclis Genel Kurulu’na verilen yasama dokunulmazlığının kaldırılması taleplerinin kabul edilmesini olanaklı kıldığını benzer şekilde gözlemlemiştir. Bununla birlikte; başvurucunun ilk ve devam eden tutukluluğuna karar veren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liklerin, başvurucuya karşı ceza davası açan savcılıkların, tutukluluğun devamına karar veren ağır ceza mahkemesi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lerinin ve son olarak, Anayasa Mahkemesi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lerinin hiçbirisi söz konusu konuşmaların başvurucunun yasama dokunulmazlığı kapsamında korunup korunmadığı konusunda bir değerlendirmede bulunmamıştır. Mahkeme başvurucunun bu husustaki </w:t>
      </w:r>
      <w:proofErr w:type="gramStart"/>
      <w:r w:rsidRPr="003D5488">
        <w:rPr>
          <w:rFonts w:ascii="Times New Roman" w:eastAsia="Times New Roman" w:hAnsi="Times New Roman" w:cs="Times New Roman"/>
          <w:iCs/>
          <w:sz w:val="24"/>
          <w:szCs w:val="24"/>
          <w:lang w:eastAsia="tr-TR"/>
        </w:rPr>
        <w:t>argümanlarına</w:t>
      </w:r>
      <w:proofErr w:type="gramEnd"/>
      <w:r w:rsidRPr="003D5488">
        <w:rPr>
          <w:rFonts w:ascii="Times New Roman" w:eastAsia="Times New Roman" w:hAnsi="Times New Roman" w:cs="Times New Roman"/>
          <w:iCs/>
          <w:sz w:val="24"/>
          <w:szCs w:val="24"/>
          <w:lang w:eastAsia="tr-TR"/>
        </w:rPr>
        <w:t xml:space="preserve"> yönelik hiçbir analizde bulunulmamasına hayret etmektedir.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263. Mahkeme, Hükümet tarafından atıf yapılan söz konusu konuşmaların, içerikleri bakımından, başvurucunun Meclis Genel Kurulu’nda yaptığı konuşmalara benzer konuşmalar olduğunun başvurucu tarafından makul bir şekilde ortaya konduğu kanaatindedir (bakınız, özel olarak, yukarıda 28, 36, 46, 50, 51, 52 ve 54. paragraflar). Bununla birlikte, söz konusu </w:t>
      </w:r>
      <w:proofErr w:type="gramStart"/>
      <w:r w:rsidRPr="003D5488">
        <w:rPr>
          <w:rFonts w:ascii="Times New Roman" w:eastAsia="Times New Roman" w:hAnsi="Times New Roman" w:cs="Times New Roman"/>
          <w:iCs/>
          <w:sz w:val="24"/>
          <w:szCs w:val="24"/>
          <w:lang w:eastAsia="tr-TR"/>
        </w:rPr>
        <w:t>argümanın</w:t>
      </w:r>
      <w:proofErr w:type="gramEnd"/>
      <w:r w:rsidRPr="003D5488">
        <w:rPr>
          <w:rFonts w:ascii="Times New Roman" w:eastAsia="Times New Roman" w:hAnsi="Times New Roman" w:cs="Times New Roman"/>
          <w:iCs/>
          <w:sz w:val="24"/>
          <w:szCs w:val="24"/>
          <w:lang w:eastAsia="tr-TR"/>
        </w:rPr>
        <w:t xml:space="preserve"> makullüğü ve Anayasa’nın 83. maddesinin ilk fıkrası uyarınca tanınan güvenceye rağmen, yargı yetkilileri başvurucunun tutukluluğunu devam ettirmiş, temelde siyasi konuşmaları temelinde yargılamış ve söz konusu beyanların yasama dokunulmazlığı korumasından faydalanıp faydalanmadığına ilişkin hiçbir değerlendirmede bulunmamışlardır.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264. Ek olarak, söz konusu konuşmaların Anayasa’nın 83. maddesinin ilk fıkrası uyarınca korunmadığı varsayılsa dahi, Mahkeme, 20 Mayıs 2016 tarihli anayasal değişikliklerin kendi başına öngörülebilirlik bakımından bir sorun yarattığı kanaatindedir. Anayasa’nın 83. maddesinin 2. fıkrası, değiştirilmemiş şekliyle, yasama dokunulmazlığını düzenlemektedir ve Meclis Genel Kurulu’nun rızası olmadıkça, seçilmiş bir vekilin görevi süresince hiçbir şekilde tutulamayacağı, tutuklanamayacağını ve yargılanmayacağını belirtmektedir. Söz konusu koruma yalnızca geçici sürelidir, yani </w:t>
      </w:r>
      <w:r w:rsidR="001302A1">
        <w:rPr>
          <w:rFonts w:ascii="Times New Roman" w:eastAsia="Times New Roman" w:hAnsi="Times New Roman" w:cs="Times New Roman"/>
          <w:iCs/>
          <w:sz w:val="24"/>
          <w:szCs w:val="24"/>
          <w:lang w:eastAsia="tr-TR"/>
        </w:rPr>
        <w:t>milletvekili</w:t>
      </w:r>
      <w:r w:rsidRPr="003D5488">
        <w:rPr>
          <w:rFonts w:ascii="Times New Roman" w:eastAsia="Times New Roman" w:hAnsi="Times New Roman" w:cs="Times New Roman"/>
          <w:iCs/>
          <w:sz w:val="24"/>
          <w:szCs w:val="24"/>
          <w:lang w:eastAsia="tr-TR"/>
        </w:rPr>
        <w:t xml:space="preserve">nin görev süresi dolduktan sonraki normal süreçte </w:t>
      </w:r>
      <w:r w:rsidRPr="003D5488">
        <w:rPr>
          <w:rFonts w:ascii="Times New Roman" w:eastAsia="Times New Roman" w:hAnsi="Times New Roman" w:cs="Times New Roman"/>
          <w:iCs/>
          <w:sz w:val="24"/>
          <w:szCs w:val="24"/>
          <w:lang w:eastAsia="tr-TR"/>
        </w:rPr>
        <w:lastRenderedPageBreak/>
        <w:t>bir ceza yargılamasının yapılması olanaklıdır</w:t>
      </w:r>
      <w:r w:rsidRPr="003D5488">
        <w:rPr>
          <w:rFonts w:ascii="Times New Roman" w:hAnsi="Times New Roman" w:cs="Times New Roman"/>
          <w:sz w:val="24"/>
          <w:szCs w:val="24"/>
        </w:rPr>
        <w:t xml:space="preserve"> </w:t>
      </w:r>
      <w:r w:rsidRPr="003D5488">
        <w:rPr>
          <w:rFonts w:ascii="Times New Roman" w:eastAsia="Times New Roman" w:hAnsi="Times New Roman" w:cs="Times New Roman"/>
          <w:iCs/>
          <w:sz w:val="24"/>
          <w:szCs w:val="24"/>
          <w:lang w:eastAsia="tr-TR"/>
        </w:rPr>
        <w:t xml:space="preserve">(bakınız </w:t>
      </w:r>
      <w:r w:rsidRPr="003D5488">
        <w:rPr>
          <w:rFonts w:ascii="Times New Roman" w:eastAsia="Times New Roman" w:hAnsi="Times New Roman" w:cs="Times New Roman"/>
          <w:i/>
          <w:iCs/>
          <w:sz w:val="24"/>
          <w:szCs w:val="24"/>
          <w:lang w:eastAsia="tr-TR"/>
        </w:rPr>
        <w:t>Kart</w:t>
      </w:r>
      <w:r w:rsidRPr="003D5488">
        <w:rPr>
          <w:rFonts w:ascii="Times New Roman" w:eastAsia="Times New Roman" w:hAnsi="Times New Roman" w:cs="Times New Roman"/>
          <w:iCs/>
          <w:sz w:val="24"/>
          <w:szCs w:val="24"/>
          <w:lang w:eastAsia="tr-TR"/>
        </w:rPr>
        <w:t>, yukarıda anılan, § 69).</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265. Anayasa’nın 83. maddesinin ikinci fıkrası yasama dokunulmazlığı ilkesine yalnızca iki istisna getirmektedir: (i)  ağır cezayı gerektiren suçüstü hali (</w:t>
      </w:r>
      <w:r w:rsidRPr="003D5488">
        <w:rPr>
          <w:rFonts w:ascii="Times New Roman" w:eastAsia="Times New Roman" w:hAnsi="Times New Roman" w:cs="Times New Roman"/>
          <w:i/>
          <w:iCs/>
          <w:sz w:val="24"/>
          <w:szCs w:val="24"/>
          <w:lang w:eastAsia="tr-TR"/>
        </w:rPr>
        <w:t xml:space="preserve">in </w:t>
      </w:r>
      <w:proofErr w:type="spellStart"/>
      <w:r w:rsidRPr="003D5488">
        <w:rPr>
          <w:rFonts w:ascii="Times New Roman" w:eastAsia="Times New Roman" w:hAnsi="Times New Roman" w:cs="Times New Roman"/>
          <w:i/>
          <w:iCs/>
          <w:sz w:val="24"/>
          <w:szCs w:val="24"/>
          <w:lang w:eastAsia="tr-TR"/>
        </w:rPr>
        <w:t>flagrante</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delicto</w:t>
      </w:r>
      <w:proofErr w:type="spellEnd"/>
      <w:r w:rsidRPr="003D5488">
        <w:rPr>
          <w:rFonts w:ascii="Times New Roman" w:eastAsia="Times New Roman" w:hAnsi="Times New Roman" w:cs="Times New Roman"/>
          <w:iCs/>
          <w:sz w:val="24"/>
          <w:szCs w:val="24"/>
          <w:lang w:eastAsia="tr-TR"/>
        </w:rPr>
        <w:t>) ve (ii) seçimden önce soruşturmasına başlanılmış olmak kaydıyla Anayasanın 14 üncü maddesindeki durumlar. Başvurucunun durumu her iki istisnaya da girmediği için, anayasa değişikliği olmadan yerel yetkililer başvurucuya karşı ceza yargılaması başlatabilmek için yalnızca yasama dokunulmazlığının kaldırılması talebinde bulunabilmekteydi.</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266. Türkiye Cumhuriyeti Anayasası, bir </w:t>
      </w:r>
      <w:r w:rsidR="001302A1">
        <w:rPr>
          <w:rFonts w:ascii="Times New Roman" w:eastAsia="Times New Roman" w:hAnsi="Times New Roman" w:cs="Times New Roman"/>
          <w:iCs/>
          <w:sz w:val="24"/>
          <w:szCs w:val="24"/>
          <w:lang w:eastAsia="tr-TR"/>
        </w:rPr>
        <w:t>milletvekili</w:t>
      </w:r>
      <w:r w:rsidRPr="003D5488">
        <w:rPr>
          <w:rFonts w:ascii="Times New Roman" w:eastAsia="Times New Roman" w:hAnsi="Times New Roman" w:cs="Times New Roman"/>
          <w:iCs/>
          <w:sz w:val="24"/>
          <w:szCs w:val="24"/>
          <w:lang w:eastAsia="tr-TR"/>
        </w:rPr>
        <w:t xml:space="preserve">nin yasama dokunulmazlığının kaldırılması için yapılan taleplere karşı </w:t>
      </w:r>
      <w:proofErr w:type="spellStart"/>
      <w:r w:rsidRPr="003D5488">
        <w:rPr>
          <w:rFonts w:ascii="Times New Roman" w:eastAsia="Times New Roman" w:hAnsi="Times New Roman" w:cs="Times New Roman"/>
          <w:iCs/>
          <w:sz w:val="24"/>
          <w:szCs w:val="24"/>
          <w:lang w:eastAsia="tr-TR"/>
        </w:rPr>
        <w:t>usuli</w:t>
      </w:r>
      <w:proofErr w:type="spellEnd"/>
      <w:r w:rsidRPr="003D5488">
        <w:rPr>
          <w:rFonts w:ascii="Times New Roman" w:eastAsia="Times New Roman" w:hAnsi="Times New Roman" w:cs="Times New Roman"/>
          <w:iCs/>
          <w:sz w:val="24"/>
          <w:szCs w:val="24"/>
          <w:lang w:eastAsia="tr-TR"/>
        </w:rPr>
        <w:t xml:space="preserve"> güvenceler sağlamaktadır. Anayasa’nın 83. maddesinin ikinci fıkrası uyarınca, bir </w:t>
      </w:r>
      <w:r w:rsidR="001302A1">
        <w:rPr>
          <w:rFonts w:ascii="Times New Roman" w:eastAsia="Times New Roman" w:hAnsi="Times New Roman" w:cs="Times New Roman"/>
          <w:iCs/>
          <w:sz w:val="24"/>
          <w:szCs w:val="24"/>
          <w:lang w:eastAsia="tr-TR"/>
        </w:rPr>
        <w:t>milletvekili</w:t>
      </w:r>
      <w:r w:rsidRPr="003D5488">
        <w:rPr>
          <w:rFonts w:ascii="Times New Roman" w:eastAsia="Times New Roman" w:hAnsi="Times New Roman" w:cs="Times New Roman"/>
          <w:iCs/>
          <w:sz w:val="24"/>
          <w:szCs w:val="24"/>
          <w:lang w:eastAsia="tr-TR"/>
        </w:rPr>
        <w:t xml:space="preserve"> ancak Meclis Genel Kurulu’nun yasama dokunulmazlığının kaldırılması kararı olduğu sürece tutulabilir, sorguya çekilebilir, tutuklanabilir veya yargılanabilir. Bu anlamda Meclis Genel Kurulu, davaya konu bireysel koşullar ve ilgili üyenin durumunu değerlendirmeli, kendilerini Meclis’e karşı savunma fırsatını üyelere sunmalıdır. Ek olarak Anayasa’nın 85. maddesi altında, </w:t>
      </w:r>
      <w:r w:rsidRPr="003D5488">
        <w:rPr>
          <w:rFonts w:ascii="Times New Roman" w:eastAsia="Times New Roman" w:hAnsi="Times New Roman" w:cs="Times New Roman"/>
          <w:sz w:val="24"/>
          <w:szCs w:val="24"/>
          <w:lang w:eastAsia="tr-TR"/>
        </w:rPr>
        <w:t>milletvekili veya bir diğer milletvekili Meclis Genel Kurulu’nun aldığı yasama dokunulmazlığı kararına karşı, kararının alındığı tarihten başlayarak yedi gün içerisinde iptali için Anayasa Mahkemesine başvurabilir. Anayasa Mahkemesi iptal istemini on beş gün içerisinde karara bağlamak zorundadır. Anayasa Mahkemesi, Anayasa’ya, kanuna veya İçtüzüğe aykırılığı sebebiyle Meclis kararının iptal edilmesine karar verebilir.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iCs/>
          <w:sz w:val="24"/>
          <w:szCs w:val="24"/>
          <w:lang w:eastAsia="tr-TR"/>
        </w:rPr>
        <w:t xml:space="preserve">267. Anayasa’nın 83. maddesinin ikinci fıkrasının birinci cümlesinde yer alan, </w:t>
      </w:r>
      <w:r w:rsidRPr="003D5488">
        <w:rPr>
          <w:rFonts w:ascii="Times New Roman" w:eastAsia="Times New Roman" w:hAnsi="Times New Roman" w:cs="Times New Roman"/>
          <w:iCs/>
          <w:sz w:val="28"/>
          <w:szCs w:val="24"/>
          <w:lang w:eastAsia="tr-TR"/>
        </w:rPr>
        <w:t>s</w:t>
      </w:r>
      <w:r w:rsidRPr="003D5488">
        <w:rPr>
          <w:rFonts w:ascii="Times New Roman" w:eastAsia="Times New Roman" w:hAnsi="Times New Roman" w:cs="Times New Roman"/>
          <w:sz w:val="24"/>
          <w:szCs w:val="24"/>
          <w:lang w:eastAsia="tr-TR"/>
        </w:rPr>
        <w:t xml:space="preserve">eçimden önce veya sonra bir suç işlediği ileri sürülen bir milletvekilinin Meclis kararı olmadıkça tutulamayacağı, sorguya çekilemeyeceği, tutuklanamayacağı ve yargılanamayacağı şeklindeki hüküm, </w:t>
      </w:r>
      <w:r w:rsidRPr="003D5488">
        <w:rPr>
          <w:rFonts w:ascii="Times New Roman" w:eastAsia="Times New Roman" w:hAnsi="Times New Roman" w:cs="Times New Roman"/>
          <w:iCs/>
          <w:sz w:val="24"/>
          <w:szCs w:val="24"/>
          <w:lang w:eastAsia="tr-TR"/>
        </w:rPr>
        <w:t>anayasa değişiklikleri doğrultusunda</w:t>
      </w:r>
      <w:r w:rsidRPr="003D5488">
        <w:rPr>
          <w:rFonts w:ascii="Times New Roman" w:eastAsia="Times New Roman" w:hAnsi="Times New Roman" w:cs="Times New Roman"/>
          <w:sz w:val="24"/>
          <w:szCs w:val="24"/>
          <w:lang w:eastAsia="tr-TR"/>
        </w:rPr>
        <w:t xml:space="preserve"> başvurucu da </w:t>
      </w:r>
      <w:r w:rsidR="00DA1D16">
        <w:rPr>
          <w:rFonts w:ascii="Times New Roman" w:eastAsia="Times New Roman" w:hAnsi="Times New Roman" w:cs="Times New Roman"/>
          <w:sz w:val="24"/>
          <w:szCs w:val="24"/>
          <w:lang w:eastAsia="tr-TR"/>
        </w:rPr>
        <w:t>dâhil</w:t>
      </w:r>
      <w:r w:rsidRPr="003D5488">
        <w:rPr>
          <w:rFonts w:ascii="Times New Roman" w:eastAsia="Times New Roman" w:hAnsi="Times New Roman" w:cs="Times New Roman"/>
          <w:sz w:val="24"/>
          <w:szCs w:val="24"/>
          <w:lang w:eastAsia="tr-TR"/>
        </w:rPr>
        <w:t xml:space="preserve"> ilgili milletvekilleri için uygulama alanı bulmamaktadır. Bu sebeple ilgili milletvekilleri olağan yasal çerçeveye tabi olup, olağan yurttaşlardan ayrı bir statüye sahip değillerdir. Bu sebeple, Anayasa Mahkemesi’nin 3 Haziran 2016 tarihinde 2016/117 sayılı kararında belirttiği üzere, ilgili milletvekillerinin ilgili değişikliğe karşı itirazda bulunma hakları yoktur, anayasal deneyim yalnızca Anayasa’nın 148. maddesinde yer alan usul çerçevesinde ilerleyebilir.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sz w:val="24"/>
          <w:szCs w:val="24"/>
          <w:lang w:eastAsia="tr-TR"/>
        </w:rPr>
        <w:lastRenderedPageBreak/>
        <w:t xml:space="preserve">268. Anayasa değişikliğinin genel gerekçe metninde, anayasa değişikliği amacının </w:t>
      </w:r>
      <w:r w:rsidRPr="003D5488">
        <w:rPr>
          <w:rFonts w:ascii="Times New Roman" w:eastAsia="Times New Roman" w:hAnsi="Times New Roman" w:cs="Times New Roman"/>
          <w:iCs/>
          <w:sz w:val="24"/>
          <w:szCs w:val="24"/>
          <w:lang w:eastAsia="tr-TR"/>
        </w:rPr>
        <w:t xml:space="preserve">bazı milletvekillerinin yapmış oldukları teröre manevi ve moral destek manasındaki açıklamaları, bazı milletvekillerinin teröre ve teröristlere fiili manada destek ve yardımları, bazı milletvekillerinin ise şiddet çağrıları kamuoyunda büyük infiale işaret etmek olduğu belirtilmiştir. Ek olarak, Anayasa’nın 83. maddesinin 2. fıkrasının askıya alınması hakkındaki görüşünde Venedik Komisyonu, bu değişiklik sonrası </w:t>
      </w:r>
      <w:r w:rsidR="001302A1">
        <w:rPr>
          <w:rFonts w:ascii="Times New Roman" w:eastAsia="Times New Roman" w:hAnsi="Times New Roman" w:cs="Times New Roman"/>
          <w:iCs/>
          <w:sz w:val="24"/>
          <w:szCs w:val="24"/>
          <w:lang w:eastAsia="tr-TR"/>
        </w:rPr>
        <w:t>milletvekil</w:t>
      </w:r>
      <w:r w:rsidRPr="003D5488">
        <w:rPr>
          <w:rFonts w:ascii="Times New Roman" w:eastAsia="Times New Roman" w:hAnsi="Times New Roman" w:cs="Times New Roman"/>
          <w:iCs/>
          <w:sz w:val="24"/>
          <w:szCs w:val="24"/>
          <w:lang w:eastAsia="tr-TR"/>
        </w:rPr>
        <w:t>lerinin siyasal beyanlarının ceza hukuku kapsamında cezalandırılabilir olacağını, Anayasa’nın 83. ve 85. maddelerindeki anayasal güvencelerin ilgili vekiller için mevcut olmayacağını belirtmiştir. Bu değişikliğin sonucunda, Meclis Genel Kurulu’nun artık ilgili milletvekillerinin her birinin durumu için bireysel değerlendirme yapma zorunluluğu bulunmamaktadır, bu durum milletvekillerinin Anayasa altında güvenceye alınan hakları pahasına da olsa yürütülmemektedir.</w:t>
      </w:r>
    </w:p>
    <w:p w:rsidR="002C4924" w:rsidRPr="003D5488" w:rsidRDefault="002C4924" w:rsidP="002C4924">
      <w:pPr>
        <w:shd w:val="clear" w:color="auto" w:fill="FFFFFF"/>
        <w:spacing w:after="0" w:line="276" w:lineRule="auto"/>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Mahkeme’nin görüşüne göre, bu değişiklik ilgili milletvekillerinin öngöremeyeceği bir durum yaratmıştır.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269. Ek olarak, Mahkeme tekrar Venedik Komisyonu’nun görüşlerini paylaşarak, bir sefere mahsus </w:t>
      </w:r>
      <w:r w:rsidRPr="003D5488">
        <w:rPr>
          <w:rFonts w:ascii="Times New Roman" w:eastAsia="Times New Roman" w:hAnsi="Times New Roman" w:cs="Times New Roman"/>
          <w:i/>
          <w:sz w:val="24"/>
          <w:szCs w:val="24"/>
          <w:lang w:eastAsia="tr-TR"/>
        </w:rPr>
        <w:t xml:space="preserve">ad </w:t>
      </w:r>
      <w:proofErr w:type="spellStart"/>
      <w:r w:rsidRPr="003D5488">
        <w:rPr>
          <w:rFonts w:ascii="Times New Roman" w:eastAsia="Times New Roman" w:hAnsi="Times New Roman" w:cs="Times New Roman"/>
          <w:i/>
          <w:sz w:val="24"/>
          <w:szCs w:val="24"/>
          <w:lang w:eastAsia="tr-TR"/>
        </w:rPr>
        <w:t>homines</w:t>
      </w:r>
      <w:proofErr w:type="spellEnd"/>
      <w:r w:rsidRPr="003D5488">
        <w:rPr>
          <w:rFonts w:ascii="Times New Roman" w:eastAsia="Times New Roman" w:hAnsi="Times New Roman" w:cs="Times New Roman"/>
          <w:i/>
          <w:sz w:val="24"/>
          <w:szCs w:val="24"/>
          <w:lang w:eastAsia="tr-TR"/>
        </w:rPr>
        <w:t xml:space="preserve"> </w:t>
      </w:r>
      <w:r w:rsidRPr="003D5488">
        <w:rPr>
          <w:rFonts w:ascii="Times New Roman" w:eastAsia="Times New Roman" w:hAnsi="Times New Roman" w:cs="Times New Roman"/>
          <w:sz w:val="24"/>
          <w:szCs w:val="24"/>
          <w:lang w:eastAsia="tr-TR"/>
        </w:rPr>
        <w:t xml:space="preserve">anayasa değişikliğinin Türkiye anayasa geleneğinde daha önce eşi benzerinin görülmediği görüşündedir. Gerekçe metninde aktarıldığı üzere, anayasa değişiklikleri </w:t>
      </w:r>
      <w:proofErr w:type="gramStart"/>
      <w:r w:rsidRPr="003D5488">
        <w:rPr>
          <w:rFonts w:ascii="Times New Roman" w:eastAsia="Times New Roman" w:hAnsi="Times New Roman" w:cs="Times New Roman"/>
          <w:sz w:val="24"/>
          <w:szCs w:val="24"/>
          <w:lang w:eastAsia="tr-TR"/>
        </w:rPr>
        <w:t>spesifik</w:t>
      </w:r>
      <w:proofErr w:type="gramEnd"/>
      <w:r w:rsidRPr="003D5488">
        <w:rPr>
          <w:rFonts w:ascii="Times New Roman" w:eastAsia="Times New Roman" w:hAnsi="Times New Roman" w:cs="Times New Roman"/>
          <w:sz w:val="24"/>
          <w:szCs w:val="24"/>
          <w:lang w:eastAsia="tr-TR"/>
        </w:rPr>
        <w:t xml:space="preserve"> olarak milletvekillerinin beyanlarını, özel olarak muhalefeti açıkça hedef almaktadır. Bu bağlantıyla, Mahkeme </w:t>
      </w:r>
      <w:proofErr w:type="gramStart"/>
      <w:r w:rsidRPr="003D5488">
        <w:rPr>
          <w:rFonts w:ascii="Times New Roman" w:eastAsia="Times New Roman" w:hAnsi="Times New Roman" w:cs="Times New Roman"/>
          <w:sz w:val="24"/>
          <w:szCs w:val="24"/>
          <w:lang w:eastAsia="tr-TR"/>
        </w:rPr>
        <w:t>halihazırda</w:t>
      </w:r>
      <w:proofErr w:type="gramEnd"/>
      <w:r w:rsidRPr="003D5488">
        <w:rPr>
          <w:rFonts w:ascii="Times New Roman" w:eastAsia="Times New Roman" w:hAnsi="Times New Roman" w:cs="Times New Roman"/>
          <w:sz w:val="24"/>
          <w:szCs w:val="24"/>
          <w:lang w:eastAsia="tr-TR"/>
        </w:rPr>
        <w:t xml:space="preserve"> özel kişileri hedef alan kanunların hukukun üstünlüğüne aykırı olduğunu belirtmiştir (bakınız </w:t>
      </w:r>
      <w:r w:rsidRPr="003D5488">
        <w:rPr>
          <w:rFonts w:ascii="Times New Roman" w:eastAsia="Times New Roman" w:hAnsi="Times New Roman" w:cs="Times New Roman"/>
          <w:i/>
          <w:iCs/>
          <w:sz w:val="24"/>
          <w:szCs w:val="24"/>
          <w:lang w:eastAsia="tr-TR"/>
        </w:rPr>
        <w:t xml:space="preserve">Baka v. Macaristan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20261/12, § 117, 23 Haziran 2016). Değişikliğin kabul edilmesinden sonra Meclis Genel Kurulu Anayasa’nın 83. ve 85. maddeleri altındaki bağışıklık rejimini sürdürmüş, aynı zamanda belirli tanımlanabilir üyelere karşı bu rejimi, genel ve objektif kanun lafzı temelinde uygulanamaz kılmıştır. Bu bağlamda Mahkeme, Venedik Komisyonu’nun “anayasa değişikliği </w:t>
      </w:r>
      <w:proofErr w:type="gramStart"/>
      <w:r w:rsidRPr="003D5488">
        <w:rPr>
          <w:rFonts w:ascii="Times New Roman" w:eastAsia="Times New Roman" w:hAnsi="Times New Roman" w:cs="Times New Roman"/>
          <w:sz w:val="24"/>
          <w:szCs w:val="24"/>
          <w:lang w:eastAsia="tr-TR"/>
        </w:rPr>
        <w:t>prosedürünün</w:t>
      </w:r>
      <w:proofErr w:type="gramEnd"/>
      <w:r w:rsidRPr="003D5488">
        <w:rPr>
          <w:rFonts w:ascii="Times New Roman" w:eastAsia="Times New Roman" w:hAnsi="Times New Roman" w:cs="Times New Roman"/>
          <w:sz w:val="24"/>
          <w:szCs w:val="24"/>
          <w:lang w:eastAsia="tr-TR"/>
        </w:rPr>
        <w:t xml:space="preserve"> kötüye kullanılması” tespitine tamamıyla katılmaktadır. Mahkeme’nin görüşüne göre, Türkiye’nin parlamenter pratiği ve geleneği akılda tutulduğunda, bir milletvekili görev süresi esnasında böyle bir usulün işletilmesini makul bir şekilde öngöremez, bu itibarla Meclis Genel Kurul üyelerinin ifade özgürlükleri zarar görecektir.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270. Mahkeme’nin içtihadı, öngörülebilirlik şartının sağlanmasıyla ilgili olarak, mevzuatın lafzından, bir bireyin hareket ve ihmalleri sebebiyle ceza sorumluğunun doğup doğmayacağını, gerektiği takdirde yardım alırsa mahkemelerin bu hususu nasıl yorumlayacağını bilip bilemeyeceği üzerine </w:t>
      </w:r>
      <w:r w:rsidRPr="003D5488">
        <w:rPr>
          <w:rFonts w:ascii="Times New Roman" w:eastAsia="Times New Roman" w:hAnsi="Times New Roman" w:cs="Times New Roman"/>
          <w:sz w:val="24"/>
          <w:szCs w:val="24"/>
          <w:lang w:eastAsia="tr-TR"/>
        </w:rPr>
        <w:lastRenderedPageBreak/>
        <w:t xml:space="preserve">bir </w:t>
      </w:r>
      <w:proofErr w:type="gramStart"/>
      <w:r w:rsidRPr="003D5488">
        <w:rPr>
          <w:rFonts w:ascii="Times New Roman" w:eastAsia="Times New Roman" w:hAnsi="Times New Roman" w:cs="Times New Roman"/>
          <w:sz w:val="24"/>
          <w:szCs w:val="24"/>
          <w:lang w:eastAsia="tr-TR"/>
        </w:rPr>
        <w:t>kriter</w:t>
      </w:r>
      <w:proofErr w:type="gramEnd"/>
      <w:r w:rsidRPr="003D5488">
        <w:rPr>
          <w:rFonts w:ascii="Times New Roman" w:eastAsia="Times New Roman" w:hAnsi="Times New Roman" w:cs="Times New Roman"/>
          <w:sz w:val="24"/>
          <w:szCs w:val="24"/>
          <w:lang w:eastAsia="tr-TR"/>
        </w:rPr>
        <w:t xml:space="preserve"> geliştirmiştir (bakınız, diğer kararların yanı sıra, </w:t>
      </w:r>
      <w:r w:rsidRPr="003D5488">
        <w:rPr>
          <w:rFonts w:ascii="Times New Roman" w:eastAsia="Times New Roman" w:hAnsi="Times New Roman" w:cs="Times New Roman"/>
          <w:i/>
          <w:iCs/>
          <w:sz w:val="24"/>
          <w:szCs w:val="24"/>
          <w:lang w:eastAsia="tr-TR"/>
        </w:rPr>
        <w:t>Güler ve Uğur</w:t>
      </w:r>
      <w:r w:rsidRPr="003D5488">
        <w:rPr>
          <w:rFonts w:ascii="Times New Roman" w:eastAsia="Times New Roman" w:hAnsi="Times New Roman" w:cs="Times New Roman"/>
          <w:sz w:val="24"/>
          <w:szCs w:val="24"/>
          <w:lang w:eastAsia="tr-TR"/>
        </w:rPr>
        <w:t xml:space="preserve">, yukarıda anılan, § 50 ve </w:t>
      </w:r>
      <w:proofErr w:type="spellStart"/>
      <w:r w:rsidRPr="003D5488">
        <w:rPr>
          <w:rFonts w:ascii="Times New Roman" w:eastAsia="Times New Roman" w:hAnsi="Times New Roman" w:cs="Times New Roman"/>
          <w:i/>
          <w:iCs/>
          <w:sz w:val="24"/>
          <w:szCs w:val="24"/>
          <w:lang w:eastAsia="tr-TR"/>
        </w:rPr>
        <w:t>Kudrevičius</w:t>
      </w:r>
      <w:proofErr w:type="spellEnd"/>
      <w:r w:rsidRPr="003D5488">
        <w:rPr>
          <w:rFonts w:ascii="Times New Roman" w:eastAsia="Times New Roman" w:hAnsi="Times New Roman" w:cs="Times New Roman"/>
          <w:i/>
          <w:iCs/>
          <w:sz w:val="24"/>
          <w:szCs w:val="24"/>
          <w:lang w:eastAsia="tr-TR"/>
        </w:rPr>
        <w:t xml:space="preserve"> ve Diğerleri</w:t>
      </w:r>
      <w:r w:rsidRPr="003D5488">
        <w:rPr>
          <w:rFonts w:ascii="Times New Roman" w:eastAsia="Times New Roman" w:hAnsi="Times New Roman" w:cs="Times New Roman"/>
          <w:sz w:val="24"/>
          <w:szCs w:val="24"/>
          <w:lang w:eastAsia="tr-TR"/>
        </w:rPr>
        <w:t xml:space="preserve">, yukarıda anılan, § 108). </w:t>
      </w:r>
      <w:proofErr w:type="gramStart"/>
      <w:r w:rsidRPr="003D5488">
        <w:rPr>
          <w:rFonts w:ascii="Times New Roman" w:eastAsia="Times New Roman" w:hAnsi="Times New Roman" w:cs="Times New Roman"/>
          <w:sz w:val="24"/>
          <w:szCs w:val="24"/>
          <w:lang w:eastAsia="tr-TR"/>
        </w:rPr>
        <w:t xml:space="preserve">Mevcut davada, Anayasa’nın 83. maddesinin ilk iki paragrafının lafzı ve yerel mahkemelerin ilgili maddeyi yorumlaması ya da yorumlama eksikliği göz önüne alındığında, Mahkeme başvurucunun ifade özgürlüğüne yapılan müdahalenin “kanunla öngörülmediğini”, nitekim müdahalenin öngörülebilirlik şartını sağlamadığını ve siyasal bir bakıştan savunmada bulunan başvurucunun mevcut anayasal korumadan meşru bir şekilde yararlanmayı bekleyeceğini, bu korumanın siyasal konuşmalar için yasama dokunulmazlığı ve anayasal </w:t>
      </w:r>
      <w:proofErr w:type="spellStart"/>
      <w:r w:rsidRPr="003D5488">
        <w:rPr>
          <w:rFonts w:ascii="Times New Roman" w:eastAsia="Times New Roman" w:hAnsi="Times New Roman" w:cs="Times New Roman"/>
          <w:sz w:val="24"/>
          <w:szCs w:val="24"/>
          <w:lang w:eastAsia="tr-TR"/>
        </w:rPr>
        <w:t>usuli</w:t>
      </w:r>
      <w:proofErr w:type="spellEnd"/>
      <w:r w:rsidRPr="003D5488">
        <w:rPr>
          <w:rFonts w:ascii="Times New Roman" w:eastAsia="Times New Roman" w:hAnsi="Times New Roman" w:cs="Times New Roman"/>
          <w:sz w:val="24"/>
          <w:szCs w:val="24"/>
          <w:lang w:eastAsia="tr-TR"/>
        </w:rPr>
        <w:t xml:space="preserve"> güvenceler olduğu görüşündedir (bakınız, </w:t>
      </w:r>
      <w:proofErr w:type="spellStart"/>
      <w:r w:rsidRPr="003D5488">
        <w:rPr>
          <w:rFonts w:ascii="Times New Roman" w:eastAsia="Times New Roman" w:hAnsi="Times New Roman" w:cs="Times New Roman"/>
          <w:i/>
          <w:iCs/>
          <w:sz w:val="24"/>
          <w:szCs w:val="24"/>
          <w:lang w:eastAsia="tr-TR"/>
        </w:rPr>
        <w:t>mutatis</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mutandis</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Lykourezos</w:t>
      </w:r>
      <w:proofErr w:type="spellEnd"/>
      <w:r w:rsidRPr="003D5488">
        <w:rPr>
          <w:rFonts w:ascii="Times New Roman" w:eastAsia="Times New Roman" w:hAnsi="Times New Roman" w:cs="Times New Roman"/>
          <w:i/>
          <w:iCs/>
          <w:sz w:val="24"/>
          <w:szCs w:val="24"/>
          <w:lang w:eastAsia="tr-TR"/>
        </w:rPr>
        <w:t xml:space="preserve"> v. Yunanistan</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33554/03, §§ 54-56, ECHR 2006-VIII).</w:t>
      </w:r>
      <w:proofErr w:type="gramEnd"/>
    </w:p>
    <w:p w:rsidR="002C4924" w:rsidRPr="003D5488" w:rsidRDefault="002C4924" w:rsidP="002C4924">
      <w:pPr>
        <w:shd w:val="clear" w:color="auto" w:fill="FFFFFF"/>
        <w:tabs>
          <w:tab w:val="left" w:pos="1540"/>
        </w:tabs>
        <w:spacing w:after="0" w:line="276" w:lineRule="auto"/>
        <w:jc w:val="both"/>
        <w:rPr>
          <w:rFonts w:ascii="Times New Roman" w:eastAsia="Times New Roman" w:hAnsi="Times New Roman" w:cs="Times New Roman"/>
          <w:szCs w:val="24"/>
          <w:lang w:eastAsia="tr-TR"/>
        </w:rPr>
      </w:pPr>
    </w:p>
    <w:p w:rsidR="002C4924" w:rsidRPr="003D5488" w:rsidRDefault="002C4924" w:rsidP="00DB7842">
      <w:pPr>
        <w:pStyle w:val="Balk5"/>
        <w:rPr>
          <w:color w:val="auto"/>
        </w:rPr>
      </w:pPr>
      <w:r w:rsidRPr="003D5488">
        <w:rPr>
          <w:color w:val="auto"/>
        </w:rPr>
        <w:t>Terörizmle ilgili suçlar: Ceza Kanunu’nun 314. maddesinin 1. ve 2. fıkraları</w:t>
      </w:r>
    </w:p>
    <w:p w:rsidR="002C4924" w:rsidRPr="003D5488" w:rsidRDefault="002C4924" w:rsidP="002C4924">
      <w:pPr>
        <w:shd w:val="clear" w:color="auto" w:fill="FFFFFF"/>
        <w:tabs>
          <w:tab w:val="left" w:pos="720"/>
        </w:tabs>
        <w:spacing w:after="0" w:line="276" w:lineRule="auto"/>
        <w:jc w:val="both"/>
        <w:rPr>
          <w:rFonts w:ascii="Times New Roman" w:eastAsia="Times New Roman" w:hAnsi="Times New Roman" w:cs="Times New Roman"/>
          <w:szCs w:val="24"/>
          <w:lang w:eastAsia="tr-TR"/>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sz w:val="24"/>
          <w:szCs w:val="24"/>
          <w:lang w:eastAsia="tr-TR"/>
        </w:rPr>
        <w:t xml:space="preserve">271. Diyarbakır Cumhuriyet Başsavcılığı, 4 Kasım 2016 tarihinde </w:t>
      </w:r>
      <w:r w:rsidRPr="003D5488">
        <w:rPr>
          <w:rFonts w:ascii="Times New Roman" w:eastAsia="Times New Roman" w:hAnsi="Times New Roman" w:cs="Times New Roman"/>
          <w:iCs/>
          <w:sz w:val="24"/>
          <w:szCs w:val="24"/>
          <w:lang w:eastAsia="tr-TR"/>
        </w:rPr>
        <w:t xml:space="preserve">Diyarbakır 2. Sulh Ceza </w:t>
      </w:r>
      <w:proofErr w:type="spellStart"/>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liği’nden</w:t>
      </w:r>
      <w:proofErr w:type="spellEnd"/>
      <w:r w:rsidRPr="003D5488">
        <w:rPr>
          <w:rFonts w:ascii="Times New Roman" w:eastAsia="Times New Roman" w:hAnsi="Times New Roman" w:cs="Times New Roman"/>
          <w:iCs/>
          <w:sz w:val="24"/>
          <w:szCs w:val="24"/>
          <w:lang w:eastAsia="tr-TR"/>
        </w:rPr>
        <w:t xml:space="preserve"> başvurucunun iki suç işlediği şüphesiyle tutuklanması talebinde bulunmuştur: Ceza Kanunu’nun 314. maddesinin 1. fıkrasında düzenlenen, silahlı terör örgütüne üye olma suçu ve aynı Kanun’un 214. maddesinin 1. fıkrasında düzenlenen, suç işlemek için alenen tahrikte bulunma suçu.</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proofErr w:type="gramStart"/>
      <w:r w:rsidRPr="003D5488">
        <w:rPr>
          <w:rFonts w:ascii="Times New Roman" w:eastAsia="Times New Roman" w:hAnsi="Times New Roman" w:cs="Times New Roman"/>
          <w:iCs/>
          <w:sz w:val="24"/>
          <w:szCs w:val="24"/>
          <w:lang w:eastAsia="tr-TR"/>
        </w:rPr>
        <w:t xml:space="preserve">272. Aynı gün içinde Diyarbakır 2. Sulh Ceza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liği, HDP </w:t>
      </w:r>
      <w:proofErr w:type="spellStart"/>
      <w:r w:rsidRPr="003D5488">
        <w:rPr>
          <w:rFonts w:ascii="Times New Roman" w:eastAsia="Times New Roman" w:hAnsi="Times New Roman" w:cs="Times New Roman"/>
          <w:iCs/>
          <w:sz w:val="24"/>
          <w:szCs w:val="24"/>
          <w:lang w:eastAsia="tr-TR"/>
        </w:rPr>
        <w:t>Twitter</w:t>
      </w:r>
      <w:proofErr w:type="spellEnd"/>
      <w:r w:rsidRPr="003D5488">
        <w:rPr>
          <w:rFonts w:ascii="Times New Roman" w:eastAsia="Times New Roman" w:hAnsi="Times New Roman" w:cs="Times New Roman"/>
          <w:iCs/>
          <w:sz w:val="24"/>
          <w:szCs w:val="24"/>
          <w:lang w:eastAsia="tr-TR"/>
        </w:rPr>
        <w:t xml:space="preserve"> hesabından atılan </w:t>
      </w:r>
      <w:proofErr w:type="spellStart"/>
      <w:r w:rsidRPr="003D5488">
        <w:rPr>
          <w:rFonts w:ascii="Times New Roman" w:eastAsia="Times New Roman" w:hAnsi="Times New Roman" w:cs="Times New Roman"/>
          <w:iCs/>
          <w:sz w:val="24"/>
          <w:szCs w:val="24"/>
          <w:lang w:eastAsia="tr-TR"/>
        </w:rPr>
        <w:t>tweetleri</w:t>
      </w:r>
      <w:proofErr w:type="spellEnd"/>
      <w:r w:rsidRPr="003D5488">
        <w:rPr>
          <w:rFonts w:ascii="Times New Roman" w:eastAsia="Times New Roman" w:hAnsi="Times New Roman" w:cs="Times New Roman"/>
          <w:iCs/>
          <w:sz w:val="24"/>
          <w:szCs w:val="24"/>
          <w:lang w:eastAsia="tr-TR"/>
        </w:rPr>
        <w:t xml:space="preserve"> ve 6 ila 8 Ekim 2014 arasında yaşanan şiddet dolu eylemleri göz önüne alarak, başvurucunun suç işlemek için alenen tahrikte bulunma suçunu işlediğine yönelik kuvvetli suç şüphesi bulunduğunu tespit etmiştir (Ceza Kanunu’nun 214. maddesinin 1. fıkrası). </w:t>
      </w:r>
      <w:proofErr w:type="gramEnd"/>
      <w:r w:rsidRPr="003D5488">
        <w:rPr>
          <w:rFonts w:ascii="Times New Roman" w:eastAsia="Times New Roman" w:hAnsi="Times New Roman" w:cs="Times New Roman"/>
          <w:iCs/>
          <w:sz w:val="24"/>
          <w:szCs w:val="24"/>
          <w:lang w:eastAsia="tr-TR"/>
        </w:rPr>
        <w:t xml:space="preserve">Sonrasında, başvurucunun yaptığı bir dizi konuşma ve yetkili savcılıklar tarafından yürütülen başvurucu hakkındaki terörle alakalı birçok soruşturma hesaba katıldığında (bakınız yukarıda 70. paragraf), hâkimlik başvurucunun silahlı terör örgütüne üye olma suçunu işlediğine ilişkin kuvvetli şüphe bulunduğunu ifade etmiştir (Ceza Kanunu’nun 314. maddesinin 1. fıkrası). Ek olarak, silahlı terör örgütü kurma ve yönetme suçunun yapısına bakıldığında –bu isnat başvurucuya 11 Ocak 2017 tarihli iddianame düzenlenene kadar getirilmemiştir- ve suçun Ceza Muhakemesi Kanunu’nun 100. maddesinin üçüncü fıkrasında sayılan suçlardan biri olduğu görüldüğünde, hâkimlik ayrıca bu suçun da işlendiğine ilişkin kuvvetli şüphe olduğunu tespit etmiştir. (Ceza Kanunu’nun 314. maddesinin 1. fıkrası). Dolayısıyla Diyarbakır 2. Sulh Ceza </w:t>
      </w:r>
      <w:proofErr w:type="spellStart"/>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liği’nin</w:t>
      </w:r>
      <w:proofErr w:type="spellEnd"/>
      <w:r w:rsidRPr="003D5488">
        <w:rPr>
          <w:rFonts w:ascii="Times New Roman" w:eastAsia="Times New Roman" w:hAnsi="Times New Roman" w:cs="Times New Roman"/>
          <w:iCs/>
          <w:sz w:val="24"/>
          <w:szCs w:val="24"/>
          <w:lang w:eastAsia="tr-TR"/>
        </w:rPr>
        <w:t xml:space="preserve"> 4 Kasım </w:t>
      </w:r>
      <w:r w:rsidRPr="003D5488">
        <w:rPr>
          <w:rFonts w:ascii="Times New Roman" w:eastAsia="Times New Roman" w:hAnsi="Times New Roman" w:cs="Times New Roman"/>
          <w:iCs/>
          <w:sz w:val="24"/>
          <w:szCs w:val="24"/>
          <w:lang w:eastAsia="tr-TR"/>
        </w:rPr>
        <w:lastRenderedPageBreak/>
        <w:t>2016 tarihinde verdiği karar, başvurucunun tutukluğunun hangi suç(</w:t>
      </w:r>
      <w:proofErr w:type="spellStart"/>
      <w:r w:rsidRPr="003D5488">
        <w:rPr>
          <w:rFonts w:ascii="Times New Roman" w:eastAsia="Times New Roman" w:hAnsi="Times New Roman" w:cs="Times New Roman"/>
          <w:iCs/>
          <w:sz w:val="24"/>
          <w:szCs w:val="24"/>
          <w:lang w:eastAsia="tr-TR"/>
        </w:rPr>
        <w:t>lar</w:t>
      </w:r>
      <w:proofErr w:type="spellEnd"/>
      <w:r w:rsidRPr="003D5488">
        <w:rPr>
          <w:rFonts w:ascii="Times New Roman" w:eastAsia="Times New Roman" w:hAnsi="Times New Roman" w:cs="Times New Roman"/>
          <w:iCs/>
          <w:sz w:val="24"/>
          <w:szCs w:val="24"/>
          <w:lang w:eastAsia="tr-TR"/>
        </w:rPr>
        <w:t xml:space="preserve">)a dayandığına ilişkin temiz bir zemin sağlamamaktadır. Bu belirsizlik, tutukluğunun devamı kararlarıyla daha da artmıştır. 11 Kasım 2016 tarihinde Diyarbakır 3. Sulh Ceza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liği verdiği kararla birlikte başvurucunun iki suçla bağlantılı olarak tutuklandığını belirtmiştir: terör örgütüne üyelik ve suç işlemek için alenen tahrikte bulunma. Ancak Diyarbakır 1. Sulh Ceza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liği 6 Aralık 2016 tarihli kararında başvurucunun yalnızca silahlı terör örgütüne üyelik suçunu işlediği şüphesiyle tutuklu olduğunu belirtmiştir.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proofErr w:type="gramStart"/>
      <w:r w:rsidRPr="003D5488">
        <w:rPr>
          <w:rFonts w:ascii="Times New Roman" w:eastAsia="Times New Roman" w:hAnsi="Times New Roman" w:cs="Times New Roman"/>
          <w:iCs/>
          <w:sz w:val="24"/>
          <w:szCs w:val="24"/>
          <w:lang w:eastAsia="tr-TR"/>
        </w:rPr>
        <w:t xml:space="preserve">273. 11 Ocak 2017 tarihinde düzenlenen iddianame ile birlikte, Diyarbakır Cumhuriyet Başsavcısı, başvurucunun 43 ila 142 yıl arasında hapis cezasına çarptırılmasını talep etmiş, iddianamede dayanak olarak şu suçları göstermiştir: silahlı terör örgütü kurma ve yönetme, terör örgütü propagandası yapma, suç işlemek için alenen tahrikte bulunma, suçu ve suçluyu övme, halkı kin ve düşmanlığa tahrik etme, kanunlara uymamaya tahrik etme, kanuna aykırı toplantı veya gösteri yürüyüşlerine katılma ve kanuna aykırı gösteri sırasında güvenlik güçleri tarafından verilen dağılma emrine uymayı reddetme. </w:t>
      </w:r>
      <w:proofErr w:type="gramEnd"/>
      <w:r w:rsidRPr="003D5488">
        <w:rPr>
          <w:rFonts w:ascii="Times New Roman" w:eastAsia="Times New Roman" w:hAnsi="Times New Roman" w:cs="Times New Roman"/>
          <w:iCs/>
          <w:sz w:val="24"/>
          <w:szCs w:val="24"/>
          <w:lang w:eastAsia="tr-TR"/>
        </w:rPr>
        <w:t>(bakınız yukarıda 78. paragraf). 2 Eylül 2019 tarihine dek, ağır ceza mahkemelerindeki duruşmaların her biri sona erene dek, başvurucunun devam eden tutukluluğunun hangi suç(</w:t>
      </w:r>
      <w:proofErr w:type="spellStart"/>
      <w:r w:rsidRPr="003D5488">
        <w:rPr>
          <w:rFonts w:ascii="Times New Roman" w:eastAsia="Times New Roman" w:hAnsi="Times New Roman" w:cs="Times New Roman"/>
          <w:iCs/>
          <w:sz w:val="24"/>
          <w:szCs w:val="24"/>
          <w:lang w:eastAsia="tr-TR"/>
        </w:rPr>
        <w:t>lar</w:t>
      </w:r>
      <w:proofErr w:type="spellEnd"/>
      <w:r w:rsidRPr="003D5488">
        <w:rPr>
          <w:rFonts w:ascii="Times New Roman" w:eastAsia="Times New Roman" w:hAnsi="Times New Roman" w:cs="Times New Roman"/>
          <w:iCs/>
          <w:sz w:val="24"/>
          <w:szCs w:val="24"/>
          <w:lang w:eastAsia="tr-TR"/>
        </w:rPr>
        <w:t>)a bağlı olduğu netleştirilmemiş, yalnızca başvurucuya karşı olan bütün delillere atıfta bulunulmuştur.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274. Her hâlükârda, başvurucunun tutukluğuna ve tutukluluğun devam etmesine karar verilmesi, konuşmaları temelinde terörizmle ilgili suçlara dayanmaktadır, özel olarak Ceza </w:t>
      </w:r>
      <w:proofErr w:type="spellStart"/>
      <w:r w:rsidRPr="003D5488">
        <w:rPr>
          <w:rFonts w:ascii="Times New Roman" w:eastAsia="Times New Roman" w:hAnsi="Times New Roman" w:cs="Times New Roman"/>
          <w:iCs/>
          <w:sz w:val="24"/>
          <w:szCs w:val="24"/>
          <w:lang w:eastAsia="tr-TR"/>
        </w:rPr>
        <w:t>Kanunu’un</w:t>
      </w:r>
      <w:proofErr w:type="spellEnd"/>
      <w:r w:rsidRPr="003D5488">
        <w:rPr>
          <w:rFonts w:ascii="Times New Roman" w:eastAsia="Times New Roman" w:hAnsi="Times New Roman" w:cs="Times New Roman"/>
          <w:iCs/>
          <w:sz w:val="24"/>
          <w:szCs w:val="24"/>
          <w:lang w:eastAsia="tr-TR"/>
        </w:rPr>
        <w:t xml:space="preserve"> 314. maddesinin 1. ve 2. fıkrasında düzenlenen, silahlı terör örgütü kurma, yönetme ve bu örgütlere üyelik suçu temel alınmıştır (bakınız yukarıda 143-146 arası paragraflar).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275. Mahkeme, terörle mücadele ile bağlantılı sorunlar ve terörle mücadele mevzuatının formüle edilmesinin güçlüğü hakkında bilinç sahibidir. Üye Devletler belli bir yerde kaçınılmaz olarak genel lafızlara başvurmakta ve yargı yetkililerinin pratik yorumlarına dayanmaktadır. Bu bağlamda ulusal mahkemeler, hukukun yorumlanmasında keyfi müdahalelere karşı uygun bireysel koruma sağlamak zorundadır.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proofErr w:type="gramStart"/>
      <w:r w:rsidRPr="003D5488">
        <w:rPr>
          <w:rFonts w:ascii="Times New Roman" w:eastAsia="Times New Roman" w:hAnsi="Times New Roman" w:cs="Times New Roman"/>
          <w:iCs/>
          <w:sz w:val="24"/>
          <w:szCs w:val="24"/>
          <w:lang w:eastAsia="tr-TR"/>
        </w:rPr>
        <w:t xml:space="preserve">276. Mahkeme, hükümete eleştiri getirilmesi ve ülke liderlerinin ulusal menfaatleri tehlikeye attığı yönünde bilgi yayınlanması durumlarında kişilerin ceza yargılamasına tabi tutulmaması, özellikle silahlı terör örgütü üyesi olma ya da örgüte destek verme, hükümeti ya da anayasal düzeni ortadan kaldırmaya teşebbüs etme veya terör örgütü propagandası yapma </w:t>
      </w:r>
      <w:r w:rsidRPr="003D5488">
        <w:rPr>
          <w:rFonts w:ascii="Times New Roman" w:eastAsia="Times New Roman" w:hAnsi="Times New Roman" w:cs="Times New Roman"/>
          <w:iCs/>
          <w:sz w:val="24"/>
          <w:szCs w:val="24"/>
          <w:lang w:eastAsia="tr-TR"/>
        </w:rPr>
        <w:lastRenderedPageBreak/>
        <w:t xml:space="preserve">gibi ciddi suçlara başvurulmaması yönünde yakın zamanda Türkiye’ye karşı iki ayrı karar vermiştir. </w:t>
      </w:r>
      <w:proofErr w:type="gramEnd"/>
      <w:r w:rsidRPr="003D5488">
        <w:rPr>
          <w:rFonts w:ascii="Times New Roman" w:eastAsia="Times New Roman" w:hAnsi="Times New Roman" w:cs="Times New Roman"/>
          <w:iCs/>
          <w:sz w:val="24"/>
          <w:szCs w:val="24"/>
          <w:lang w:eastAsia="tr-TR"/>
        </w:rPr>
        <w:t xml:space="preserve">Ek olarak, bu ciddi suçlar söz konusu olsa bile, tutukluluk yalnızca istisnai bir tedbir olarak kullanılmalı ve diğer bütün tedbirlerin yargılamanın uygun şekilde ilerlemesine tamamen elvermemesi durumunda son çare olarak başvurulmalıdır (bakınız </w:t>
      </w:r>
      <w:r w:rsidRPr="003D5488">
        <w:rPr>
          <w:rFonts w:ascii="Times New Roman" w:eastAsia="Times New Roman" w:hAnsi="Times New Roman" w:cs="Times New Roman"/>
          <w:i/>
          <w:iCs/>
          <w:sz w:val="24"/>
          <w:szCs w:val="24"/>
          <w:lang w:eastAsia="tr-TR"/>
        </w:rPr>
        <w:t>Mehmet Hasan Altan</w:t>
      </w:r>
      <w:r w:rsidRPr="003D5488">
        <w:rPr>
          <w:rFonts w:ascii="Times New Roman" w:eastAsia="Times New Roman" w:hAnsi="Times New Roman" w:cs="Times New Roman"/>
          <w:iCs/>
          <w:sz w:val="24"/>
          <w:szCs w:val="24"/>
          <w:lang w:eastAsia="tr-TR"/>
        </w:rPr>
        <w:t xml:space="preserve">, yukarıda anılan, § </w:t>
      </w:r>
      <w:proofErr w:type="gramStart"/>
      <w:r w:rsidRPr="003D5488">
        <w:rPr>
          <w:rFonts w:ascii="Times New Roman" w:eastAsia="Times New Roman" w:hAnsi="Times New Roman" w:cs="Times New Roman"/>
          <w:iCs/>
          <w:sz w:val="24"/>
          <w:szCs w:val="24"/>
          <w:lang w:eastAsia="tr-TR"/>
        </w:rPr>
        <w:t>211,</w:t>
      </w:r>
      <w:proofErr w:type="gramEnd"/>
      <w:r w:rsidRPr="003D5488">
        <w:rPr>
          <w:rFonts w:ascii="Times New Roman" w:eastAsia="Times New Roman" w:hAnsi="Times New Roman" w:cs="Times New Roman"/>
          <w:iCs/>
          <w:sz w:val="24"/>
          <w:szCs w:val="24"/>
          <w:lang w:eastAsia="tr-TR"/>
        </w:rPr>
        <w:t xml:space="preserve"> ve </w:t>
      </w:r>
      <w:r w:rsidRPr="003D5488">
        <w:rPr>
          <w:rFonts w:ascii="Times New Roman" w:eastAsia="Times New Roman" w:hAnsi="Times New Roman" w:cs="Times New Roman"/>
          <w:i/>
          <w:iCs/>
          <w:sz w:val="24"/>
          <w:szCs w:val="24"/>
          <w:lang w:eastAsia="tr-TR"/>
        </w:rPr>
        <w:t>Şahin Alpay</w:t>
      </w:r>
      <w:r w:rsidRPr="003D5488">
        <w:rPr>
          <w:rFonts w:ascii="Times New Roman" w:eastAsia="Times New Roman" w:hAnsi="Times New Roman" w:cs="Times New Roman"/>
          <w:iCs/>
          <w:sz w:val="24"/>
          <w:szCs w:val="24"/>
          <w:lang w:eastAsia="tr-TR"/>
        </w:rPr>
        <w:t>, yukarıda anılan, § 181).</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277. Mahkeme, Venedik Komisyonu’nun Ceza Kanunu’nun 216, 299, 301, 314. maddeleri üzerine yazdığı görüşü doğrultusunda, Kanun’un “silahlı örgüt” ve “silahlı grup” için bir tanımlama içermediğini gözlemlemektedir. Suç örgütünün nitelendirme </w:t>
      </w:r>
      <w:proofErr w:type="gramStart"/>
      <w:r w:rsidRPr="003D5488">
        <w:rPr>
          <w:rFonts w:ascii="Times New Roman" w:eastAsia="Times New Roman" w:hAnsi="Times New Roman" w:cs="Times New Roman"/>
          <w:iCs/>
          <w:sz w:val="24"/>
          <w:szCs w:val="24"/>
          <w:lang w:eastAsia="tr-TR"/>
        </w:rPr>
        <w:t>kriterleri</w:t>
      </w:r>
      <w:proofErr w:type="gramEnd"/>
      <w:r w:rsidRPr="003D5488">
        <w:rPr>
          <w:rFonts w:ascii="Times New Roman" w:eastAsia="Times New Roman" w:hAnsi="Times New Roman" w:cs="Times New Roman"/>
          <w:iCs/>
          <w:sz w:val="24"/>
          <w:szCs w:val="24"/>
          <w:lang w:eastAsia="tr-TR"/>
        </w:rPr>
        <w:t xml:space="preserve"> Yargıtay’ın içtihadıyla ortaya konulmuş durumdadır: örgütün en az üç üyesi olmalı; üyeler arası hiyerarşik bir ilişkili olmalı; kişiler suç işlemek için ortak bir amaç etrafında bir araya gelmeli; örgüt suçları için süreklilik arz etmeli ve örgüt üyelerinin sayısı, araçları ve ekipmanları ilgili suçların işlenmesi için uygun olmalıdır. “Silahlı örgüte üyelik” ile ilgili olarak, Yargıtay şüphelilere isnat edilen eylemlerin sürekliliğini, çeşitliliğini ve yoğunluğunu dikkate almakta, böylece bu eylemlerin şüphelinin örgütle “organik bir ilişkisi” içinde olduğunu gösterip göstermediğine veya “eylemlerin bilerek ve isteyerek örgütün “hiyerarşik yapısı içinde” işlenip işlenmediğine bakılmaktadır (bakınız yukarıda 160. paragraf).</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proofErr w:type="gramStart"/>
      <w:r w:rsidRPr="003D5488">
        <w:rPr>
          <w:rFonts w:ascii="Times New Roman" w:eastAsia="Times New Roman" w:hAnsi="Times New Roman" w:cs="Times New Roman"/>
          <w:iCs/>
          <w:sz w:val="24"/>
          <w:szCs w:val="24"/>
          <w:lang w:eastAsia="tr-TR"/>
        </w:rPr>
        <w:t xml:space="preserve">278. Mevcut davada, ceza yargılamasını başlatan ve başvurucuya suç isnadında bulunan savcılıklar, başvurucunun ilk ve/veya devam eden tutukluluk kararlarını veren hâkimlikler, tutukluluğun devamına karar veren ağır ceza mahkemesi hâkimleri ve son olarak Anayasa Mahkemesi </w:t>
      </w:r>
      <w:r w:rsidR="00DA1D16">
        <w:rPr>
          <w:rFonts w:ascii="Times New Roman" w:eastAsia="Times New Roman" w:hAnsi="Times New Roman" w:cs="Times New Roman"/>
          <w:iCs/>
          <w:sz w:val="24"/>
          <w:szCs w:val="24"/>
          <w:lang w:eastAsia="tr-TR"/>
        </w:rPr>
        <w:t>hâkim</w:t>
      </w:r>
      <w:r w:rsidRPr="003D5488">
        <w:rPr>
          <w:rFonts w:ascii="Times New Roman" w:eastAsia="Times New Roman" w:hAnsi="Times New Roman" w:cs="Times New Roman"/>
          <w:iCs/>
          <w:sz w:val="24"/>
          <w:szCs w:val="24"/>
          <w:lang w:eastAsia="tr-TR"/>
        </w:rPr>
        <w:t xml:space="preserve">leri de </w:t>
      </w:r>
      <w:r w:rsidR="00DA1D16">
        <w:rPr>
          <w:rFonts w:ascii="Times New Roman" w:eastAsia="Times New Roman" w:hAnsi="Times New Roman" w:cs="Times New Roman"/>
          <w:iCs/>
          <w:sz w:val="24"/>
          <w:szCs w:val="24"/>
          <w:lang w:eastAsia="tr-TR"/>
        </w:rPr>
        <w:t>dâhil</w:t>
      </w:r>
      <w:r w:rsidRPr="003D5488">
        <w:rPr>
          <w:rFonts w:ascii="Times New Roman" w:eastAsia="Times New Roman" w:hAnsi="Times New Roman" w:cs="Times New Roman"/>
          <w:iCs/>
          <w:sz w:val="24"/>
          <w:szCs w:val="24"/>
          <w:lang w:eastAsia="tr-TR"/>
        </w:rPr>
        <w:t xml:space="preserve"> olmak üzere ulusal yargı mercileri, Ceza Kanunu’nun 314. maddesinin 1. ve 2. fıkrasına ilişkin geniş bir yorum benimsemişlerdir. </w:t>
      </w:r>
      <w:proofErr w:type="gramEnd"/>
      <w:r w:rsidRPr="003D5488">
        <w:rPr>
          <w:rFonts w:ascii="Times New Roman" w:eastAsia="Times New Roman" w:hAnsi="Times New Roman" w:cs="Times New Roman"/>
          <w:iCs/>
          <w:sz w:val="24"/>
          <w:szCs w:val="24"/>
          <w:lang w:eastAsia="tr-TR"/>
        </w:rPr>
        <w:t>Başvurucunun belirli hükümet politikalarına muhalifliğini ifade etmesi veya yalnızca yasal bir örgüt olan Demokratik Toplum Kongresi’ne katıldığını söylemesi başvurucu ve silahlı örgüt arasında aktif bir bağlantı kuracak yeterli eylemler olarak görülmüştür. Yerel mahkemelerin, Yargıtay içtihadının gerektirdiği üzere, başvurucunun eylemlerinin “sürekliliğini, çeşitliliğini ve yoğunluğunu” dikkate almadığı, başvurucunun eylemlerinin ilgili terör örgütünün hiyerarşik yapısı içinde gerçekleşip gerçekleşmediğine bakmadığı görülmektedir.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 xml:space="preserve">279. Bu bağlantıyla İnsan Hakları Komiseri, Türkiye’de tutukluluğu haklı göstermek için dayanılan delillerin artan bir şekilde yalnızca açıkça şiddetten uzak eylem ve beyanlarla sınırlandırıldığına ve bunların kural olarak Sözleşme’nin 10. maddesi kapsamında korunması gerektiğine işaret </w:t>
      </w:r>
      <w:r w:rsidRPr="003D5488">
        <w:rPr>
          <w:rFonts w:ascii="Times New Roman" w:eastAsia="Times New Roman" w:hAnsi="Times New Roman" w:cs="Times New Roman"/>
          <w:iCs/>
          <w:sz w:val="24"/>
          <w:szCs w:val="24"/>
          <w:lang w:eastAsia="tr-TR"/>
        </w:rPr>
        <w:lastRenderedPageBreak/>
        <w:t>etmiştir. Komiser, Türkiye savcılarının ve mahkemelerinin uygun bağlamsal analiz ve delil filtrelemesini Sözleşme’nin 10. maddesine ilişkin Mahkeme içtihadı ışığında yapmadığı ve bunun sistematik bir ihmal oluşturduğu görüşündedir.</w:t>
      </w: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280. Ek olarak, yukarıda belirtilen görüşünde Venedik Komisyonu, Ceza Kanunu’nun 314. maddesinin uygulanmasında yerel mahkemelerin, kişilerin silahlı örgüte üyeliğini değerlendirirken genellikle oldukça zayıf deliller temelinde karar verme eğilimi gösterdiğini belirtmiştir. (bakınız yukarıda 160. paragraf). İşbu dava bu gözleme arka çıkar nitelikte görünmektedir. Ceza Kanunu’nun 314. maddesindeki ciddi suçlara ilişkin olarak başvurucuya isnat edilen eylemler silsilesi bu madde kapsamında oldukça geniş içeriklidir ve bu durum yerel mahkemelerin yorumlamalarıyla da birleşince yerel mahkemelerin keyfi müdahalelerine karşı yeterli güvenceleri sağlamamaktadır. Mahkeme’nin görüşüne göre, ceza kanunu hükümlerinin böylesine geniş şekilde yorumlanması, terör örgütü kurma, yönetme ve örgüte üye olma suçlarının ifade özgürlüğü hakkıyla bir dengeleme faaliyeti içermesi gerekirken, söz konusu bağlantıyı gösteren hiçbir somut delilin olmaması karşısında haklı duruma gelemez.</w:t>
      </w:r>
    </w:p>
    <w:p w:rsidR="002C4924" w:rsidRPr="003D5488" w:rsidRDefault="002C4924" w:rsidP="002C4924">
      <w:pPr>
        <w:shd w:val="clear" w:color="auto" w:fill="FFFFFF"/>
        <w:tabs>
          <w:tab w:val="left" w:pos="720"/>
        </w:tabs>
        <w:spacing w:after="0" w:line="276" w:lineRule="auto"/>
        <w:jc w:val="both"/>
        <w:rPr>
          <w:rFonts w:ascii="Times New Roman" w:eastAsia="Times New Roman" w:hAnsi="Times New Roman" w:cs="Times New Roman"/>
          <w:szCs w:val="24"/>
          <w:lang w:eastAsia="tr-TR"/>
        </w:rPr>
      </w:pPr>
    </w:p>
    <w:p w:rsidR="002C4924" w:rsidRPr="003D5488" w:rsidRDefault="002C4924" w:rsidP="00DB7842">
      <w:pPr>
        <w:pStyle w:val="Balk5"/>
        <w:rPr>
          <w:color w:val="auto"/>
        </w:rPr>
      </w:pPr>
      <w:r w:rsidRPr="003D5488">
        <w:rPr>
          <w:color w:val="auto"/>
        </w:rPr>
        <w:t>Sonuç</w:t>
      </w:r>
    </w:p>
    <w:p w:rsidR="002C4924" w:rsidRPr="003D5488" w:rsidRDefault="002C4924" w:rsidP="002C4924">
      <w:pPr>
        <w:shd w:val="clear" w:color="auto" w:fill="FFFFFF"/>
        <w:tabs>
          <w:tab w:val="left" w:pos="720"/>
        </w:tabs>
        <w:spacing w:after="0" w:line="276" w:lineRule="auto"/>
        <w:jc w:val="both"/>
        <w:rPr>
          <w:rFonts w:ascii="Times New Roman" w:eastAsia="Times New Roman" w:hAnsi="Times New Roman" w:cs="Times New Roman"/>
          <w:szCs w:val="24"/>
          <w:lang w:eastAsia="tr-TR"/>
        </w:rPr>
      </w:pPr>
    </w:p>
    <w:p w:rsidR="002C4924" w:rsidRPr="003D5488" w:rsidRDefault="002C4924" w:rsidP="002C4924">
      <w:pPr>
        <w:shd w:val="clear" w:color="auto" w:fill="FFFFFF"/>
        <w:spacing w:after="0" w:line="276" w:lineRule="auto"/>
        <w:ind w:firstLine="284"/>
        <w:jc w:val="both"/>
        <w:rPr>
          <w:rFonts w:ascii="Times New Roman" w:eastAsia="Times New Roman" w:hAnsi="Times New Roman" w:cs="Times New Roman"/>
          <w:iCs/>
          <w:sz w:val="24"/>
          <w:szCs w:val="24"/>
          <w:lang w:eastAsia="tr-TR"/>
        </w:rPr>
      </w:pPr>
      <w:r w:rsidRPr="003D5488">
        <w:rPr>
          <w:rFonts w:ascii="Times New Roman" w:eastAsia="Times New Roman" w:hAnsi="Times New Roman" w:cs="Times New Roman"/>
          <w:iCs/>
          <w:sz w:val="24"/>
          <w:szCs w:val="24"/>
          <w:lang w:eastAsia="tr-TR"/>
        </w:rPr>
        <w:t>281. Başvurucunun ifade özgürlüğüne yapılan müdahalenin kanun niteliği gerekliliğiyle bağdaşmaması itibarıyla, anayasa değişiklikleriyle birlikte Anayasa’nın 83. maddesinin ilk fıkrasının başvurucuya uygulanmasının düşünülmemesi ve ayrıca, başvurucunun davasında terörle alakalı suçları düzenleyen maddelerin yorumlanması ve uygulanmasına ilişkin meseleler sebebiyle Mahkeme, Sözleşme’nin 10. maddesinin ihlal edildiğine karar vermiştir.</w:t>
      </w:r>
    </w:p>
    <w:p w:rsidR="002C4924" w:rsidRPr="003D5488" w:rsidRDefault="002C4924" w:rsidP="002C4924">
      <w:pPr>
        <w:pStyle w:val="ListeParagraf"/>
        <w:spacing w:after="0" w:line="276" w:lineRule="auto"/>
        <w:ind w:left="953"/>
        <w:jc w:val="both"/>
        <w:rPr>
          <w:rFonts w:ascii="Times New Roman" w:eastAsia="Times New Roman" w:hAnsi="Times New Roman" w:cs="Times New Roman"/>
          <w:sz w:val="24"/>
          <w:szCs w:val="24"/>
          <w:lang w:eastAsia="tr-TR"/>
        </w:rPr>
      </w:pPr>
    </w:p>
    <w:p w:rsidR="00683825" w:rsidRPr="003D5488" w:rsidRDefault="00165361" w:rsidP="00DB7842">
      <w:pPr>
        <w:pStyle w:val="Balk1"/>
        <w:rPr>
          <w:color w:val="auto"/>
        </w:rPr>
      </w:pPr>
      <w:r w:rsidRPr="003D5488">
        <w:rPr>
          <w:color w:val="auto"/>
        </w:rPr>
        <w:t xml:space="preserve">SÖZLEŞME’NİN 5. MADDESİNİN 1. VE 3. FIKRALARININ İHLAL EDİLDİĞİ İDDİASI </w:t>
      </w:r>
    </w:p>
    <w:p w:rsidR="00E103AC" w:rsidRPr="003D5488" w:rsidRDefault="00E103AC" w:rsidP="004907BB">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283.  Başvurucu, ilk olarak, tutuklanmasını gerektiren bir suç işlediğine dair hakkında şüphe duyulmasına sebep olan inandırıcı sebeplerin varlığına ilişkin herhangi bir delil unsuru bulunmadığını iddia etmektedir. Başvurucu ayrıca, tutuklanmasına ve tutukluluk halinin devamına karar veren kararların kanunda belirtilen, matbu, basmakalıp gerekçeler dışında bir gerekçe içermediğinden </w:t>
      </w:r>
      <w:r w:rsidR="007E3DD1" w:rsidRPr="003D5488">
        <w:rPr>
          <w:rFonts w:ascii="Times New Roman" w:eastAsia="Times New Roman" w:hAnsi="Times New Roman" w:cs="Times New Roman"/>
          <w:sz w:val="24"/>
          <w:szCs w:val="24"/>
          <w:lang w:eastAsia="tr-TR"/>
        </w:rPr>
        <w:t>şikâyet</w:t>
      </w:r>
      <w:r w:rsidRPr="003D5488">
        <w:rPr>
          <w:rFonts w:ascii="Times New Roman" w:eastAsia="Times New Roman" w:hAnsi="Times New Roman" w:cs="Times New Roman"/>
          <w:sz w:val="24"/>
          <w:szCs w:val="24"/>
          <w:lang w:eastAsia="tr-TR"/>
        </w:rPr>
        <w:t xml:space="preserve"> etmektedir. Başvurucu, Sözleşme’nin 5. </w:t>
      </w:r>
      <w:r w:rsidRPr="003D5488">
        <w:rPr>
          <w:rFonts w:ascii="Times New Roman" w:eastAsia="Times New Roman" w:hAnsi="Times New Roman" w:cs="Times New Roman"/>
          <w:sz w:val="24"/>
          <w:szCs w:val="24"/>
          <w:lang w:eastAsia="tr-TR"/>
        </w:rPr>
        <w:lastRenderedPageBreak/>
        <w:t>maddesinin 1. ve 3. fıkralarının ihlal edildiğini iddia etmektedir. Bu hük</w:t>
      </w:r>
      <w:r w:rsidR="004907BB" w:rsidRPr="003D5488">
        <w:rPr>
          <w:rFonts w:ascii="Times New Roman" w:eastAsia="Times New Roman" w:hAnsi="Times New Roman" w:cs="Times New Roman"/>
          <w:sz w:val="24"/>
          <w:szCs w:val="24"/>
          <w:lang w:eastAsia="tr-TR"/>
        </w:rPr>
        <w:t xml:space="preserve">mün ilgili bölümleri şöyledir: </w:t>
      </w:r>
    </w:p>
    <w:p w:rsidR="00E103AC" w:rsidRPr="003D5488" w:rsidRDefault="00E103AC" w:rsidP="00E103AC">
      <w:pPr>
        <w:shd w:val="clear" w:color="auto" w:fill="FFFFFF"/>
        <w:spacing w:before="120" w:after="120" w:line="240" w:lineRule="auto"/>
        <w:ind w:left="425" w:firstLine="142"/>
        <w:jc w:val="both"/>
        <w:rPr>
          <w:rFonts w:ascii="Times New Roman" w:eastAsia="Times New Roman" w:hAnsi="Times New Roman" w:cs="Times New Roman"/>
          <w:lang w:eastAsia="tr-TR"/>
        </w:rPr>
      </w:pPr>
      <w:r w:rsidRPr="003D5488">
        <w:rPr>
          <w:rFonts w:ascii="Times New Roman" w:eastAsia="Times New Roman" w:hAnsi="Times New Roman" w:cs="Times New Roman"/>
          <w:lang w:eastAsia="tr-TR"/>
        </w:rPr>
        <w:t>“1.  Herkes özgürlük ve güvenlik hakkına sahiptir. Aşağıda belirtilen haller dışında ve kanunun öngördüğü usule uygun olmadan hiç kimse özgürlüğünden yoksun bırakılamaz:</w:t>
      </w:r>
    </w:p>
    <w:p w:rsidR="00E103AC" w:rsidRPr="003D5488" w:rsidRDefault="00E103AC" w:rsidP="00E103AC">
      <w:pPr>
        <w:shd w:val="clear" w:color="auto" w:fill="FFFFFF"/>
        <w:spacing w:before="120" w:after="120" w:line="240" w:lineRule="auto"/>
        <w:ind w:left="425" w:firstLine="142"/>
        <w:jc w:val="both"/>
        <w:rPr>
          <w:rFonts w:ascii="Times New Roman" w:eastAsia="Times New Roman" w:hAnsi="Times New Roman" w:cs="Times New Roman"/>
          <w:lang w:eastAsia="tr-TR"/>
        </w:rPr>
      </w:pPr>
      <w:r w:rsidRPr="003D5488">
        <w:rPr>
          <w:rFonts w:ascii="Times New Roman" w:eastAsia="Times New Roman" w:hAnsi="Times New Roman" w:cs="Times New Roman"/>
          <w:lang w:eastAsia="tr-TR"/>
        </w:rPr>
        <w:t>(...)</w:t>
      </w:r>
    </w:p>
    <w:p w:rsidR="00E103AC" w:rsidRPr="003D5488" w:rsidRDefault="00E103AC" w:rsidP="00E103AC">
      <w:pPr>
        <w:shd w:val="clear" w:color="auto" w:fill="FFFFFF"/>
        <w:spacing w:before="120" w:after="120" w:line="240" w:lineRule="auto"/>
        <w:ind w:left="425" w:firstLine="142"/>
        <w:jc w:val="both"/>
        <w:rPr>
          <w:rFonts w:ascii="Times New Roman" w:eastAsia="Times New Roman" w:hAnsi="Times New Roman" w:cs="Times New Roman"/>
          <w:lang w:eastAsia="tr-TR"/>
        </w:rPr>
      </w:pPr>
      <w:r w:rsidRPr="003D5488">
        <w:rPr>
          <w:rFonts w:ascii="Times New Roman" w:eastAsia="Times New Roman" w:hAnsi="Times New Roman" w:cs="Times New Roman"/>
          <w:lang w:eastAsia="tr-TR"/>
        </w:rPr>
        <w:t>c) Kişinin bir suç işlediğinden şüphelenmek için inandırıcı sebeplerin bulunduğu veya suç işlemesine ya da suçu işledikten sonra kaçmasına engel olma zorunluluğu kanaatini doğuran makul gerekçelerin varlığı halinde, yetkili adli merci önüne çıkarılmak üzere yakalanması ve tutulması;</w:t>
      </w:r>
    </w:p>
    <w:p w:rsidR="00E103AC" w:rsidRPr="003D5488" w:rsidRDefault="00E103AC" w:rsidP="00E103AC">
      <w:pPr>
        <w:shd w:val="clear" w:color="auto" w:fill="FFFFFF"/>
        <w:spacing w:before="120" w:after="120" w:line="240" w:lineRule="auto"/>
        <w:ind w:left="425" w:firstLine="142"/>
        <w:jc w:val="both"/>
        <w:rPr>
          <w:rFonts w:ascii="Times New Roman" w:eastAsia="Times New Roman" w:hAnsi="Times New Roman" w:cs="Times New Roman"/>
          <w:lang w:eastAsia="tr-TR"/>
        </w:rPr>
      </w:pPr>
      <w:r w:rsidRPr="003D5488">
        <w:rPr>
          <w:rFonts w:ascii="Times New Roman" w:eastAsia="Times New Roman" w:hAnsi="Times New Roman" w:cs="Times New Roman"/>
          <w:lang w:eastAsia="tr-TR"/>
        </w:rPr>
        <w:t>(...) </w:t>
      </w:r>
    </w:p>
    <w:p w:rsidR="00E103AC" w:rsidRPr="003D5488" w:rsidRDefault="00E103AC" w:rsidP="00521D4B">
      <w:pPr>
        <w:shd w:val="clear" w:color="auto" w:fill="FFFFFF"/>
        <w:spacing w:before="120" w:after="120" w:line="240" w:lineRule="auto"/>
        <w:ind w:left="425" w:firstLine="142"/>
        <w:jc w:val="both"/>
        <w:rPr>
          <w:rFonts w:ascii="Times New Roman" w:eastAsia="Times New Roman" w:hAnsi="Times New Roman" w:cs="Times New Roman"/>
          <w:lang w:eastAsia="tr-TR"/>
        </w:rPr>
      </w:pPr>
      <w:r w:rsidRPr="003D5488">
        <w:rPr>
          <w:rFonts w:ascii="Times New Roman" w:eastAsia="Times New Roman" w:hAnsi="Times New Roman" w:cs="Times New Roman"/>
          <w:lang w:eastAsia="tr-TR"/>
        </w:rPr>
        <w:t xml:space="preserve">3. </w:t>
      </w:r>
      <w:r w:rsidRPr="003D5488">
        <w:rPr>
          <w:rFonts w:ascii="Times New Roman" w:eastAsia="Times New Roman" w:hAnsi="Times New Roman" w:cs="Times New Roman"/>
          <w:shd w:val="clear" w:color="auto" w:fill="FFFFFF"/>
          <w:lang w:eastAsia="tr-TR"/>
        </w:rPr>
        <w:t>İşbu maddenin 1.c fıkrasında öngörülen koşullar uyarınca yakalanan veya tutulan herkesin derhal bir yargıç veya kanunla adli görev yapmaya yetkili kılınmış sair bir kamu görevlisinin önüne çıkarılması zorunlu olup, bu kişi makul bir süre içinde yargılanma ya da yargılama süresince serbest bırakılma hakkına sahiptir. Salıverilme, ilgilinin duruşmada hazır bulunmasını sağlayacak bir teminat şartına bağlanabilir. ”</w:t>
      </w:r>
    </w:p>
    <w:p w:rsidR="00E103AC" w:rsidRPr="003D5488" w:rsidRDefault="00E103AC" w:rsidP="00E103AC">
      <w:pPr>
        <w:shd w:val="clear" w:color="auto" w:fill="FFFFFF"/>
        <w:spacing w:after="0" w:line="240" w:lineRule="auto"/>
        <w:ind w:firstLine="284"/>
        <w:jc w:val="both"/>
        <w:rPr>
          <w:rFonts w:ascii="Times New Roman" w:eastAsia="Times New Roman" w:hAnsi="Times New Roman" w:cs="Times New Roman"/>
          <w:sz w:val="24"/>
          <w:szCs w:val="24"/>
          <w:lang w:eastAsia="tr-TR"/>
        </w:rPr>
      </w:pPr>
    </w:p>
    <w:p w:rsidR="00E103AC" w:rsidRPr="003D5488" w:rsidRDefault="00E103AC" w:rsidP="00E103AC">
      <w:pPr>
        <w:spacing w:after="0" w:line="240" w:lineRule="auto"/>
        <w:rPr>
          <w:rFonts w:ascii="Times New Roman" w:eastAsia="Times New Roman" w:hAnsi="Times New Roman" w:cs="Times New Roman"/>
          <w:b/>
          <w:bCs/>
          <w:sz w:val="24"/>
          <w:szCs w:val="24"/>
          <w:shd w:val="clear" w:color="auto" w:fill="FFFFFF"/>
          <w:lang w:eastAsia="tr-TR"/>
        </w:rPr>
      </w:pPr>
      <w:r w:rsidRPr="003D5488">
        <w:rPr>
          <w:rFonts w:ascii="Times New Roman" w:eastAsia="Times New Roman" w:hAnsi="Times New Roman" w:cs="Times New Roman"/>
          <w:b/>
          <w:bCs/>
          <w:sz w:val="24"/>
          <w:szCs w:val="24"/>
          <w:shd w:val="clear" w:color="auto" w:fill="FFFFFF"/>
          <w:lang w:eastAsia="tr-TR"/>
        </w:rPr>
        <w:t xml:space="preserve">B. Başvurucunun bir suç işlediğine dair makul şüphenin bulunmadığı iddiası (Sözleşme’nin 5. maddesinin 1. fıkrası) </w:t>
      </w:r>
    </w:p>
    <w:p w:rsidR="00E103AC" w:rsidRPr="003D5488" w:rsidRDefault="00E103AC" w:rsidP="00E103AC">
      <w:pPr>
        <w:spacing w:after="0" w:line="240" w:lineRule="auto"/>
        <w:rPr>
          <w:rFonts w:ascii="Times New Roman" w:hAnsi="Times New Roman" w:cs="Times New Roman"/>
          <w:b/>
          <w:iCs/>
          <w:sz w:val="24"/>
          <w:szCs w:val="24"/>
        </w:rPr>
      </w:pPr>
    </w:p>
    <w:p w:rsidR="00521D4B" w:rsidRPr="003D5488" w:rsidRDefault="00E103AC" w:rsidP="00E40EF1">
      <w:pPr>
        <w:shd w:val="clear" w:color="auto" w:fill="FFFFFF"/>
        <w:spacing w:after="0" w:line="23" w:lineRule="atLeast"/>
        <w:ind w:left="360"/>
        <w:jc w:val="both"/>
        <w:rPr>
          <w:rFonts w:ascii="Times New Roman" w:hAnsi="Times New Roman" w:cs="Times New Roman"/>
          <w:i/>
          <w:iCs/>
          <w:sz w:val="24"/>
          <w:szCs w:val="24"/>
        </w:rPr>
      </w:pPr>
      <w:r w:rsidRPr="003D5488">
        <w:rPr>
          <w:rFonts w:ascii="Times New Roman" w:hAnsi="Times New Roman" w:cs="Times New Roman"/>
          <w:i/>
          <w:iCs/>
          <w:sz w:val="24"/>
          <w:szCs w:val="24"/>
        </w:rPr>
        <w:t>4. Büyük Daire’nin Değerlendirmesi</w:t>
      </w:r>
    </w:p>
    <w:p w:rsidR="00E40EF1" w:rsidRPr="003D5488" w:rsidRDefault="00E40EF1" w:rsidP="00E40EF1">
      <w:pPr>
        <w:shd w:val="clear" w:color="auto" w:fill="FFFFFF"/>
        <w:spacing w:after="0" w:line="23" w:lineRule="atLeast"/>
        <w:ind w:left="360"/>
        <w:jc w:val="both"/>
        <w:rPr>
          <w:rFonts w:ascii="Times New Roman" w:hAnsi="Times New Roman" w:cs="Times New Roman"/>
          <w:i/>
          <w:iCs/>
          <w:sz w:val="24"/>
          <w:szCs w:val="24"/>
        </w:rPr>
      </w:pPr>
    </w:p>
    <w:p w:rsidR="00E40EF1" w:rsidRPr="003D5488" w:rsidRDefault="00E103AC" w:rsidP="00724F6F">
      <w:pPr>
        <w:pStyle w:val="Balk3"/>
        <w:numPr>
          <w:ilvl w:val="0"/>
          <w:numId w:val="16"/>
        </w:numPr>
        <w:spacing w:line="23" w:lineRule="atLeast"/>
        <w:rPr>
          <w:color w:val="auto"/>
        </w:rPr>
      </w:pPr>
      <w:r w:rsidRPr="003D5488">
        <w:rPr>
          <w:color w:val="auto"/>
        </w:rPr>
        <w:t>Kabul Edilebilirlik</w:t>
      </w:r>
    </w:p>
    <w:p w:rsidR="00E40EF1" w:rsidRPr="003D5488" w:rsidRDefault="00E40EF1" w:rsidP="00E40EF1">
      <w:pPr>
        <w:pStyle w:val="Balk3"/>
        <w:numPr>
          <w:ilvl w:val="0"/>
          <w:numId w:val="0"/>
        </w:numPr>
        <w:ind w:left="900"/>
        <w:rPr>
          <w:color w:val="auto"/>
        </w:rPr>
      </w:pPr>
    </w:p>
    <w:p w:rsidR="00E40EF1" w:rsidRPr="003D5488" w:rsidRDefault="00E103AC" w:rsidP="00E40EF1">
      <w:pPr>
        <w:shd w:val="clear" w:color="auto" w:fill="FFFFFF"/>
        <w:spacing w:after="0" w:line="23" w:lineRule="atLeast"/>
        <w:jc w:val="both"/>
        <w:rPr>
          <w:rFonts w:ascii="Times New Roman" w:hAnsi="Times New Roman" w:cs="Times New Roman"/>
          <w:iCs/>
          <w:sz w:val="24"/>
          <w:szCs w:val="24"/>
        </w:rPr>
      </w:pPr>
      <w:r w:rsidRPr="003D5488">
        <w:rPr>
          <w:rFonts w:ascii="Times New Roman" w:hAnsi="Times New Roman" w:cs="Times New Roman"/>
          <w:iCs/>
          <w:sz w:val="24"/>
          <w:szCs w:val="24"/>
        </w:rPr>
        <w:t xml:space="preserve">310. Mahkeme, </w:t>
      </w:r>
      <w:r w:rsidR="007E3DD1" w:rsidRPr="003D5488">
        <w:rPr>
          <w:rFonts w:ascii="Times New Roman" w:hAnsi="Times New Roman" w:cs="Times New Roman"/>
          <w:iCs/>
          <w:sz w:val="24"/>
          <w:szCs w:val="24"/>
        </w:rPr>
        <w:t>şikâyet</w:t>
      </w:r>
      <w:r w:rsidRPr="003D5488">
        <w:rPr>
          <w:rFonts w:ascii="Times New Roman" w:hAnsi="Times New Roman" w:cs="Times New Roman"/>
          <w:iCs/>
          <w:sz w:val="24"/>
          <w:szCs w:val="24"/>
        </w:rPr>
        <w:t xml:space="preserve">lerin Sözleşme’nin 35. maddesinin 3. fıkrasının a bendi uyarınca açıkça dayanaktan yoksun olmadığını ve başka bir gerekçe ile kabul edilemez olmadığını not etmiştir. Bu nedenle, </w:t>
      </w:r>
      <w:r w:rsidR="007E3DD1" w:rsidRPr="003D5488">
        <w:rPr>
          <w:rFonts w:ascii="Times New Roman" w:hAnsi="Times New Roman" w:cs="Times New Roman"/>
          <w:iCs/>
          <w:sz w:val="24"/>
          <w:szCs w:val="24"/>
        </w:rPr>
        <w:t>şikâyet</w:t>
      </w:r>
      <w:r w:rsidRPr="003D5488">
        <w:rPr>
          <w:rFonts w:ascii="Times New Roman" w:hAnsi="Times New Roman" w:cs="Times New Roman"/>
          <w:iCs/>
          <w:sz w:val="24"/>
          <w:szCs w:val="24"/>
        </w:rPr>
        <w:t>lerin kabul edilebi</w:t>
      </w:r>
      <w:r w:rsidR="00E40EF1" w:rsidRPr="003D5488">
        <w:rPr>
          <w:rFonts w:ascii="Times New Roman" w:hAnsi="Times New Roman" w:cs="Times New Roman"/>
          <w:iCs/>
          <w:sz w:val="24"/>
          <w:szCs w:val="24"/>
        </w:rPr>
        <w:t>lir olduğuna karar vermiştir.</w:t>
      </w:r>
    </w:p>
    <w:p w:rsidR="00E103AC" w:rsidRPr="003D5488" w:rsidRDefault="00521D4B" w:rsidP="00E40EF1">
      <w:pPr>
        <w:shd w:val="clear" w:color="auto" w:fill="FFFFFF"/>
        <w:spacing w:after="0" w:line="23" w:lineRule="atLeast"/>
        <w:jc w:val="both"/>
        <w:rPr>
          <w:rFonts w:ascii="Times New Roman" w:hAnsi="Times New Roman" w:cs="Times New Roman"/>
          <w:iCs/>
          <w:sz w:val="24"/>
          <w:szCs w:val="24"/>
        </w:rPr>
      </w:pPr>
      <w:r w:rsidRPr="003D5488">
        <w:rPr>
          <w:rFonts w:ascii="Times New Roman" w:hAnsi="Times New Roman" w:cs="Times New Roman"/>
          <w:iCs/>
          <w:sz w:val="24"/>
          <w:szCs w:val="24"/>
        </w:rPr>
        <w:t xml:space="preserve"> </w:t>
      </w:r>
    </w:p>
    <w:p w:rsidR="00521D4B" w:rsidRPr="003D5488" w:rsidRDefault="00E103AC" w:rsidP="00E40EF1">
      <w:pPr>
        <w:pStyle w:val="Balk3"/>
        <w:spacing w:line="23" w:lineRule="atLeast"/>
        <w:rPr>
          <w:color w:val="auto"/>
        </w:rPr>
      </w:pPr>
      <w:r w:rsidRPr="003D5488">
        <w:rPr>
          <w:color w:val="auto"/>
        </w:rPr>
        <w:t>Esas</w:t>
      </w:r>
    </w:p>
    <w:p w:rsidR="00E40EF1" w:rsidRPr="003D5488" w:rsidRDefault="00E40EF1" w:rsidP="00E40EF1">
      <w:pPr>
        <w:pStyle w:val="Balk3"/>
        <w:numPr>
          <w:ilvl w:val="0"/>
          <w:numId w:val="0"/>
        </w:numPr>
        <w:ind w:left="900"/>
        <w:rPr>
          <w:color w:val="auto"/>
        </w:rPr>
      </w:pPr>
    </w:p>
    <w:p w:rsidR="00E40EF1" w:rsidRPr="003D5488" w:rsidRDefault="00E103AC" w:rsidP="00724F6F">
      <w:pPr>
        <w:pStyle w:val="Balk4"/>
        <w:numPr>
          <w:ilvl w:val="0"/>
          <w:numId w:val="17"/>
        </w:numPr>
        <w:tabs>
          <w:tab w:val="left" w:pos="1080"/>
        </w:tabs>
        <w:spacing w:line="23" w:lineRule="atLeast"/>
        <w:rPr>
          <w:color w:val="auto"/>
        </w:rPr>
      </w:pPr>
      <w:r w:rsidRPr="003D5488">
        <w:rPr>
          <w:color w:val="auto"/>
        </w:rPr>
        <w:t>Genel İlkeler</w:t>
      </w:r>
    </w:p>
    <w:p w:rsidR="00E40EF1" w:rsidRPr="003D5488" w:rsidRDefault="00E40EF1" w:rsidP="00E40EF1">
      <w:pPr>
        <w:pStyle w:val="Balk4"/>
        <w:numPr>
          <w:ilvl w:val="0"/>
          <w:numId w:val="0"/>
        </w:numPr>
        <w:ind w:left="990"/>
        <w:rPr>
          <w:color w:val="auto"/>
        </w:rPr>
      </w:pPr>
    </w:p>
    <w:p w:rsidR="00441BD9" w:rsidRPr="003D5488" w:rsidRDefault="00E103AC" w:rsidP="00441BD9">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iCs/>
          <w:sz w:val="24"/>
          <w:szCs w:val="24"/>
          <w:lang w:eastAsia="tr-TR"/>
        </w:rPr>
        <w:t xml:space="preserve">311. </w:t>
      </w:r>
      <w:r w:rsidRPr="003D5488">
        <w:rPr>
          <w:rFonts w:ascii="Times New Roman" w:eastAsia="Times New Roman" w:hAnsi="Times New Roman" w:cs="Times New Roman"/>
          <w:sz w:val="24"/>
          <w:szCs w:val="24"/>
          <w:lang w:eastAsia="tr-TR"/>
        </w:rPr>
        <w:t xml:space="preserve">Mahkeme, öncelikle, Sözleşme'nin 5. maddesinin, Sözleşme anlamında "demokratik bir toplumda" birincil öneme sahip bir hakkı, yani özgürlük ve güvenlik temel hakkını garanti ettiğini (bakınız </w:t>
      </w:r>
      <w:proofErr w:type="spellStart"/>
      <w:r w:rsidRPr="003D5488">
        <w:rPr>
          <w:rFonts w:ascii="Times New Roman" w:eastAsia="Times New Roman" w:hAnsi="Times New Roman" w:cs="Times New Roman"/>
          <w:i/>
          <w:sz w:val="24"/>
          <w:szCs w:val="24"/>
          <w:lang w:eastAsia="tr-TR"/>
        </w:rPr>
        <w:t>Assanidze</w:t>
      </w:r>
      <w:proofErr w:type="spellEnd"/>
      <w:r w:rsidRPr="003D5488">
        <w:rPr>
          <w:rFonts w:ascii="Times New Roman" w:eastAsia="Times New Roman" w:hAnsi="Times New Roman" w:cs="Times New Roman"/>
          <w:i/>
          <w:sz w:val="24"/>
          <w:szCs w:val="24"/>
          <w:lang w:eastAsia="tr-TR"/>
        </w:rPr>
        <w:t xml:space="preserve"> v. Gürcistan</w:t>
      </w:r>
      <w:r w:rsidRPr="003D5488">
        <w:rPr>
          <w:rFonts w:ascii="Times New Roman" w:eastAsia="Times New Roman" w:hAnsi="Times New Roman" w:cs="Times New Roman"/>
          <w:sz w:val="24"/>
          <w:szCs w:val="24"/>
          <w:lang w:eastAsia="tr-TR"/>
        </w:rPr>
        <w:t xml:space="preserve"> [BD],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71503/01, § 169, ECHR 2004-II) yinelemektedir.</w:t>
      </w:r>
      <w:r w:rsidRPr="003D5488">
        <w:rPr>
          <w:rFonts w:ascii="Times New Roman" w:eastAsia="Times New Roman" w:hAnsi="Times New Roman" w:cs="Times New Roman"/>
          <w:iCs/>
          <w:sz w:val="24"/>
          <w:szCs w:val="24"/>
          <w:lang w:eastAsia="tr-TR"/>
        </w:rPr>
        <w:t xml:space="preserve"> </w:t>
      </w:r>
      <w:r w:rsidRPr="003D5488">
        <w:rPr>
          <w:rFonts w:ascii="Times New Roman" w:eastAsia="Times New Roman" w:hAnsi="Times New Roman" w:cs="Times New Roman"/>
          <w:sz w:val="24"/>
          <w:szCs w:val="24"/>
          <w:shd w:val="clear" w:color="auto" w:fill="FFFFFF"/>
          <w:lang w:eastAsia="tr-TR"/>
        </w:rPr>
        <w:t xml:space="preserve">Sözleşme’nin 5. maddesi, 2, 3 ve 4. maddelerle birlikte, bireyin fiziksel güvenliğini koruyan temel hakların ilk sırasında olup, bu nedenle de önemi çok büyüktür. </w:t>
      </w:r>
      <w:r w:rsidRPr="003D5488">
        <w:rPr>
          <w:rFonts w:ascii="Times New Roman" w:eastAsia="Times New Roman" w:hAnsi="Times New Roman" w:cs="Times New Roman"/>
          <w:sz w:val="24"/>
          <w:szCs w:val="24"/>
          <w:lang w:eastAsia="tr-TR"/>
        </w:rPr>
        <w:t>(bkz. </w:t>
      </w:r>
      <w:proofErr w:type="spellStart"/>
      <w:r w:rsidRPr="003D5488">
        <w:rPr>
          <w:rFonts w:ascii="Times New Roman" w:eastAsia="Times New Roman" w:hAnsi="Times New Roman" w:cs="Times New Roman"/>
          <w:i/>
          <w:iCs/>
          <w:sz w:val="24"/>
          <w:szCs w:val="24"/>
          <w:lang w:eastAsia="tr-TR"/>
        </w:rPr>
        <w:t>Buzadji</w:t>
      </w:r>
      <w:proofErr w:type="spellEnd"/>
      <w:r w:rsidRPr="003D5488">
        <w:rPr>
          <w:rFonts w:ascii="Times New Roman" w:eastAsia="Times New Roman" w:hAnsi="Times New Roman" w:cs="Times New Roman"/>
          <w:sz w:val="24"/>
          <w:szCs w:val="24"/>
          <w:lang w:eastAsia="tr-TR"/>
        </w:rPr>
        <w:t xml:space="preserve">, yukarıda anılan, § 84). </w:t>
      </w:r>
      <w:r w:rsidRPr="003D5488">
        <w:rPr>
          <w:rFonts w:ascii="Times New Roman" w:eastAsia="Times New Roman" w:hAnsi="Times New Roman" w:cs="Times New Roman"/>
          <w:sz w:val="24"/>
          <w:szCs w:val="24"/>
          <w:shd w:val="clear" w:color="auto" w:fill="FFFFFF"/>
          <w:lang w:eastAsia="tr-TR"/>
        </w:rPr>
        <w:t xml:space="preserve">Temel amacı, keyfi ya da haksız özgürlükten yoksun kılmaların önüne geçmektir. </w:t>
      </w:r>
      <w:r w:rsidRPr="003D5488">
        <w:rPr>
          <w:rFonts w:ascii="Times New Roman" w:eastAsia="Times New Roman" w:hAnsi="Times New Roman" w:cs="Times New Roman"/>
          <w:sz w:val="24"/>
          <w:szCs w:val="24"/>
          <w:lang w:eastAsia="tr-TR"/>
        </w:rPr>
        <w:t>(bkz. </w:t>
      </w:r>
      <w:proofErr w:type="spellStart"/>
      <w:r w:rsidRPr="003D5488">
        <w:rPr>
          <w:rFonts w:ascii="Times New Roman" w:eastAsia="Times New Roman" w:hAnsi="Times New Roman" w:cs="Times New Roman"/>
          <w:i/>
          <w:iCs/>
          <w:sz w:val="24"/>
          <w:szCs w:val="24"/>
          <w:lang w:eastAsia="tr-TR"/>
        </w:rPr>
        <w:t>Ilaşcu</w:t>
      </w:r>
      <w:proofErr w:type="spellEnd"/>
      <w:r w:rsidRPr="003D5488">
        <w:rPr>
          <w:rFonts w:ascii="Times New Roman" w:eastAsia="Times New Roman" w:hAnsi="Times New Roman" w:cs="Times New Roman"/>
          <w:i/>
          <w:iCs/>
          <w:sz w:val="24"/>
          <w:szCs w:val="24"/>
          <w:lang w:eastAsia="tr-TR"/>
        </w:rPr>
        <w:t xml:space="preserve"> ve </w:t>
      </w:r>
      <w:r w:rsidRPr="003D5488">
        <w:rPr>
          <w:rFonts w:ascii="Times New Roman" w:eastAsia="Times New Roman" w:hAnsi="Times New Roman" w:cs="Times New Roman"/>
          <w:i/>
          <w:iCs/>
          <w:sz w:val="24"/>
          <w:szCs w:val="24"/>
          <w:lang w:eastAsia="tr-TR"/>
        </w:rPr>
        <w:lastRenderedPageBreak/>
        <w:t xml:space="preserve">Diğerleri v. Moldova ve Rusya </w:t>
      </w:r>
      <w:r w:rsidRPr="003D5488">
        <w:rPr>
          <w:rFonts w:ascii="Times New Roman" w:eastAsia="Times New Roman" w:hAnsi="Times New Roman" w:cs="Times New Roman"/>
          <w:sz w:val="24"/>
          <w:szCs w:val="24"/>
          <w:lang w:eastAsia="tr-TR"/>
        </w:rPr>
        <w:t xml:space="preserve">[BD],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48787/99, § 461, ECHR 2004-VII).</w:t>
      </w:r>
    </w:p>
    <w:p w:rsidR="004907BB" w:rsidRPr="003D5488" w:rsidRDefault="00441BD9" w:rsidP="003D5488">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312. </w:t>
      </w:r>
      <w:r w:rsidR="00E103AC" w:rsidRPr="003D5488">
        <w:rPr>
          <w:rFonts w:ascii="Times New Roman" w:eastAsia="Times New Roman" w:hAnsi="Times New Roman" w:cs="Times New Roman"/>
          <w:sz w:val="24"/>
          <w:szCs w:val="24"/>
          <w:lang w:eastAsia="tr-TR"/>
        </w:rPr>
        <w:t>Herkes, Sözleşme'nin 5. maddesinin 1. fıkrasında belirtilen</w:t>
      </w:r>
      <w:r w:rsidR="00D00B90" w:rsidRPr="003D5488">
        <w:rPr>
          <w:rFonts w:ascii="Times New Roman" w:eastAsia="Times New Roman" w:hAnsi="Times New Roman" w:cs="Times New Roman"/>
          <w:sz w:val="24"/>
          <w:szCs w:val="24"/>
          <w:lang w:eastAsia="tr-TR"/>
        </w:rPr>
        <w:t xml:space="preserve"> koşullarda </w:t>
      </w:r>
      <w:r w:rsidR="00E103AC" w:rsidRPr="003D5488">
        <w:rPr>
          <w:rFonts w:ascii="Times New Roman" w:eastAsia="Times New Roman" w:hAnsi="Times New Roman" w:cs="Times New Roman"/>
          <w:sz w:val="24"/>
          <w:szCs w:val="24"/>
          <w:lang w:eastAsia="tr-TR"/>
        </w:rPr>
        <w:t xml:space="preserve">(bakınız </w:t>
      </w:r>
      <w:proofErr w:type="spellStart"/>
      <w:r w:rsidR="00E103AC" w:rsidRPr="003D5488">
        <w:rPr>
          <w:rFonts w:ascii="Times New Roman" w:eastAsia="Times New Roman" w:hAnsi="Times New Roman" w:cs="Times New Roman"/>
          <w:i/>
          <w:sz w:val="24"/>
          <w:szCs w:val="24"/>
          <w:lang w:eastAsia="tr-TR"/>
        </w:rPr>
        <w:t>Weeks</w:t>
      </w:r>
      <w:proofErr w:type="spellEnd"/>
      <w:r w:rsidR="00E103AC" w:rsidRPr="003D5488">
        <w:rPr>
          <w:rFonts w:ascii="Times New Roman" w:eastAsia="Times New Roman" w:hAnsi="Times New Roman" w:cs="Times New Roman"/>
          <w:i/>
          <w:sz w:val="24"/>
          <w:szCs w:val="24"/>
          <w:lang w:eastAsia="tr-TR"/>
        </w:rPr>
        <w:t xml:space="preserve"> v. Birleşik Krallık</w:t>
      </w:r>
      <w:r w:rsidR="00E103AC" w:rsidRPr="003D5488">
        <w:rPr>
          <w:rFonts w:ascii="Times New Roman" w:eastAsia="Times New Roman" w:hAnsi="Times New Roman" w:cs="Times New Roman"/>
          <w:sz w:val="24"/>
          <w:szCs w:val="24"/>
          <w:lang w:eastAsia="tr-TR"/>
        </w:rPr>
        <w:t xml:space="preserve">, 2 Mart 1987, § 40, Series A </w:t>
      </w:r>
      <w:proofErr w:type="spellStart"/>
      <w:r w:rsidR="00E103AC" w:rsidRPr="003D5488">
        <w:rPr>
          <w:rFonts w:ascii="Times New Roman" w:eastAsia="Times New Roman" w:hAnsi="Times New Roman" w:cs="Times New Roman"/>
          <w:sz w:val="24"/>
          <w:szCs w:val="24"/>
          <w:lang w:eastAsia="tr-TR"/>
        </w:rPr>
        <w:t>no</w:t>
      </w:r>
      <w:proofErr w:type="spellEnd"/>
      <w:r w:rsidR="00E103AC" w:rsidRPr="003D5488">
        <w:rPr>
          <w:rFonts w:ascii="Times New Roman" w:eastAsia="Times New Roman" w:hAnsi="Times New Roman" w:cs="Times New Roman"/>
          <w:sz w:val="24"/>
          <w:szCs w:val="24"/>
          <w:lang w:eastAsia="tr-TR"/>
        </w:rPr>
        <w:t xml:space="preserve">. 114), bu hakkın korunmasına, yani özgürlüklerinden yoksun bırakılmama veya yoksun bırakılmaya devam etmeme hakkına sahiptir. </w:t>
      </w:r>
      <w:r w:rsidR="00C70B02" w:rsidRPr="003D5488">
        <w:rPr>
          <w:rFonts w:ascii="Times New Roman" w:eastAsia="Times New Roman" w:hAnsi="Times New Roman" w:cs="Times New Roman"/>
          <w:sz w:val="24"/>
          <w:szCs w:val="24"/>
          <w:lang w:eastAsia="tr-TR"/>
        </w:rPr>
        <w:t xml:space="preserve">Mahkeme içtihadıyla </w:t>
      </w:r>
      <w:proofErr w:type="spellStart"/>
      <w:r w:rsidR="00C70B02" w:rsidRPr="003D5488">
        <w:rPr>
          <w:rFonts w:ascii="Times New Roman" w:eastAsia="Times New Roman" w:hAnsi="Times New Roman" w:cs="Times New Roman"/>
          <w:sz w:val="24"/>
          <w:szCs w:val="24"/>
          <w:lang w:eastAsia="tr-TR"/>
        </w:rPr>
        <w:t>geliştirilenüç</w:t>
      </w:r>
      <w:proofErr w:type="spellEnd"/>
      <w:r w:rsidR="00C70B02" w:rsidRPr="003D5488">
        <w:rPr>
          <w:rFonts w:ascii="Times New Roman" w:eastAsia="Times New Roman" w:hAnsi="Times New Roman" w:cs="Times New Roman"/>
          <w:sz w:val="24"/>
          <w:szCs w:val="24"/>
          <w:lang w:eastAsia="tr-TR"/>
        </w:rPr>
        <w:t xml:space="preserve"> gerekçelendirme hattının özellikle tespit edilebilmesi mümkündür: istisnaların sınırlı yapısı, dar yorumlanması gerektiği ve </w:t>
      </w:r>
      <w:proofErr w:type="spellStart"/>
      <w:r w:rsidR="00C70B02" w:rsidRPr="003D5488">
        <w:rPr>
          <w:rFonts w:ascii="Times New Roman" w:eastAsia="Times New Roman" w:hAnsi="Times New Roman" w:cs="Times New Roman"/>
          <w:sz w:val="24"/>
          <w:szCs w:val="24"/>
          <w:lang w:eastAsia="tr-TR"/>
        </w:rPr>
        <w:t>Sözlşem’nin</w:t>
      </w:r>
      <w:proofErr w:type="spellEnd"/>
      <w:r w:rsidR="00C70B02" w:rsidRPr="003D5488">
        <w:rPr>
          <w:rFonts w:ascii="Times New Roman" w:eastAsia="Times New Roman" w:hAnsi="Times New Roman" w:cs="Times New Roman"/>
          <w:sz w:val="24"/>
          <w:szCs w:val="24"/>
          <w:lang w:eastAsia="tr-TR"/>
        </w:rPr>
        <w:t xml:space="preserve"> diğer maddeleri altında (özellikle 8 ila 11. maddeler arası) geniş ölçekte </w:t>
      </w:r>
      <w:proofErr w:type="spellStart"/>
      <w:r w:rsidR="00C70B02" w:rsidRPr="003D5488">
        <w:rPr>
          <w:rFonts w:ascii="Times New Roman" w:eastAsia="Times New Roman" w:hAnsi="Times New Roman" w:cs="Times New Roman"/>
          <w:sz w:val="24"/>
          <w:szCs w:val="24"/>
          <w:lang w:eastAsia="tr-TR"/>
        </w:rPr>
        <w:t>haklılaştırma</w:t>
      </w:r>
      <w:proofErr w:type="spellEnd"/>
      <w:r w:rsidR="00C70B02" w:rsidRPr="003D5488">
        <w:rPr>
          <w:rFonts w:ascii="Times New Roman" w:eastAsia="Times New Roman" w:hAnsi="Times New Roman" w:cs="Times New Roman"/>
          <w:sz w:val="24"/>
          <w:szCs w:val="24"/>
          <w:lang w:eastAsia="tr-TR"/>
        </w:rPr>
        <w:t xml:space="preserve"> nedenlerine yer verilmemesi; </w:t>
      </w:r>
      <w:proofErr w:type="spellStart"/>
      <w:r w:rsidR="00421D67" w:rsidRPr="003D5488">
        <w:rPr>
          <w:rFonts w:ascii="Times New Roman" w:eastAsia="Times New Roman" w:hAnsi="Times New Roman" w:cs="Times New Roman"/>
          <w:sz w:val="24"/>
          <w:szCs w:val="24"/>
          <w:lang w:eastAsia="tr-TR"/>
        </w:rPr>
        <w:t>tutuklumanın</w:t>
      </w:r>
      <w:proofErr w:type="spellEnd"/>
      <w:r w:rsidR="00421D67" w:rsidRPr="003D5488">
        <w:rPr>
          <w:rFonts w:ascii="Times New Roman" w:eastAsia="Times New Roman" w:hAnsi="Times New Roman" w:cs="Times New Roman"/>
          <w:sz w:val="24"/>
          <w:szCs w:val="24"/>
          <w:lang w:eastAsia="tr-TR"/>
        </w:rPr>
        <w:t xml:space="preserve"> hem usul hem de esas yönünden hukukili</w:t>
      </w:r>
      <w:r w:rsidR="003C25C6" w:rsidRPr="003D5488">
        <w:rPr>
          <w:rFonts w:ascii="Times New Roman" w:eastAsia="Times New Roman" w:hAnsi="Times New Roman" w:cs="Times New Roman"/>
          <w:sz w:val="24"/>
          <w:szCs w:val="24"/>
          <w:lang w:eastAsia="tr-TR"/>
        </w:rPr>
        <w:t>ğ</w:t>
      </w:r>
      <w:r w:rsidR="00421D67" w:rsidRPr="003D5488">
        <w:rPr>
          <w:rFonts w:ascii="Times New Roman" w:eastAsia="Times New Roman" w:hAnsi="Times New Roman" w:cs="Times New Roman"/>
          <w:sz w:val="24"/>
          <w:szCs w:val="24"/>
          <w:lang w:eastAsia="tr-TR"/>
        </w:rPr>
        <w:t xml:space="preserve">ine yapılan vurgu, </w:t>
      </w:r>
      <w:r w:rsidR="003C25C6" w:rsidRPr="003D5488">
        <w:rPr>
          <w:rFonts w:ascii="Times New Roman" w:eastAsia="Times New Roman" w:hAnsi="Times New Roman" w:cs="Times New Roman"/>
          <w:sz w:val="24"/>
          <w:szCs w:val="24"/>
          <w:lang w:eastAsia="tr-TR"/>
        </w:rPr>
        <w:t xml:space="preserve">hukukun üstünlüğünün titiz bir şekilde </w:t>
      </w:r>
      <w:proofErr w:type="gramStart"/>
      <w:r w:rsidR="003C25C6" w:rsidRPr="003D5488">
        <w:rPr>
          <w:rFonts w:ascii="Times New Roman" w:eastAsia="Times New Roman" w:hAnsi="Times New Roman" w:cs="Times New Roman"/>
          <w:sz w:val="24"/>
          <w:szCs w:val="24"/>
          <w:lang w:eastAsia="tr-TR"/>
        </w:rPr>
        <w:t>işletilmesi;</w:t>
      </w:r>
      <w:proofErr w:type="gramEnd"/>
      <w:r w:rsidR="003C25C6" w:rsidRPr="003D5488">
        <w:rPr>
          <w:rFonts w:ascii="Times New Roman" w:eastAsia="Times New Roman" w:hAnsi="Times New Roman" w:cs="Times New Roman"/>
          <w:sz w:val="24"/>
          <w:szCs w:val="24"/>
          <w:lang w:eastAsia="tr-TR"/>
        </w:rPr>
        <w:t xml:space="preserve"> ve yargısal denetimin seriliğine veya hızlılığın</w:t>
      </w:r>
      <w:r w:rsidR="003D5488" w:rsidRPr="003D5488">
        <w:rPr>
          <w:rFonts w:ascii="Times New Roman" w:eastAsia="Times New Roman" w:hAnsi="Times New Roman" w:cs="Times New Roman"/>
          <w:sz w:val="24"/>
          <w:szCs w:val="24"/>
          <w:lang w:eastAsia="tr-TR"/>
        </w:rPr>
        <w:t xml:space="preserve">ın </w:t>
      </w:r>
      <w:r w:rsidR="003D5488">
        <w:rPr>
          <w:rFonts w:ascii="Times New Roman" w:eastAsia="Times New Roman" w:hAnsi="Times New Roman" w:cs="Times New Roman"/>
          <w:sz w:val="24"/>
          <w:szCs w:val="24"/>
          <w:lang w:eastAsia="tr-TR"/>
        </w:rPr>
        <w:t>yargı denetimi içinde zorunluluğu</w:t>
      </w:r>
      <w:r w:rsidR="00E103AC" w:rsidRPr="003D5488">
        <w:rPr>
          <w:rFonts w:ascii="Times New Roman" w:eastAsia="Times New Roman" w:hAnsi="Times New Roman" w:cs="Times New Roman"/>
          <w:sz w:val="24"/>
          <w:szCs w:val="24"/>
          <w:shd w:val="clear" w:color="auto" w:fill="FFFFFF"/>
          <w:lang w:eastAsia="tr-TR"/>
        </w:rPr>
        <w:t xml:space="preserve"> </w:t>
      </w:r>
      <w:r w:rsidR="003D5488">
        <w:rPr>
          <w:rFonts w:ascii="Times New Roman" w:eastAsia="Times New Roman" w:hAnsi="Times New Roman" w:cs="Times New Roman"/>
          <w:sz w:val="24"/>
          <w:szCs w:val="24"/>
          <w:lang w:eastAsia="tr-TR"/>
        </w:rPr>
        <w:t>(bakınız</w:t>
      </w:r>
      <w:r w:rsidR="00E103AC" w:rsidRPr="003D5488">
        <w:rPr>
          <w:rFonts w:ascii="Times New Roman" w:eastAsia="Times New Roman" w:hAnsi="Times New Roman" w:cs="Times New Roman"/>
          <w:sz w:val="24"/>
          <w:szCs w:val="24"/>
          <w:lang w:eastAsia="tr-TR"/>
        </w:rPr>
        <w:t>. </w:t>
      </w:r>
      <w:proofErr w:type="spellStart"/>
      <w:r w:rsidR="00E103AC" w:rsidRPr="003D5488">
        <w:rPr>
          <w:rFonts w:ascii="Times New Roman" w:eastAsia="Times New Roman" w:hAnsi="Times New Roman" w:cs="Times New Roman"/>
          <w:i/>
          <w:iCs/>
          <w:sz w:val="24"/>
          <w:szCs w:val="24"/>
          <w:lang w:eastAsia="tr-TR"/>
        </w:rPr>
        <w:t>Buzadji</w:t>
      </w:r>
      <w:proofErr w:type="spellEnd"/>
      <w:r w:rsidR="00E103AC" w:rsidRPr="003D5488">
        <w:rPr>
          <w:rFonts w:ascii="Times New Roman" w:eastAsia="Times New Roman" w:hAnsi="Times New Roman" w:cs="Times New Roman"/>
          <w:sz w:val="24"/>
          <w:szCs w:val="24"/>
          <w:lang w:eastAsia="tr-TR"/>
        </w:rPr>
        <w:t>, yukarıda anılan, § 84, ve </w:t>
      </w:r>
      <w:r w:rsidR="00E103AC" w:rsidRPr="003D5488">
        <w:rPr>
          <w:rFonts w:ascii="Times New Roman" w:eastAsia="Times New Roman" w:hAnsi="Times New Roman" w:cs="Times New Roman"/>
          <w:i/>
          <w:iCs/>
          <w:sz w:val="24"/>
          <w:szCs w:val="24"/>
          <w:lang w:eastAsia="tr-TR"/>
        </w:rPr>
        <w:t>S</w:t>
      </w:r>
      <w:proofErr w:type="gramStart"/>
      <w:r w:rsidR="00E103AC" w:rsidRPr="003D5488">
        <w:rPr>
          <w:rFonts w:ascii="Times New Roman" w:eastAsia="Times New Roman" w:hAnsi="Times New Roman" w:cs="Times New Roman"/>
          <w:i/>
          <w:iCs/>
          <w:sz w:val="24"/>
          <w:szCs w:val="24"/>
          <w:lang w:eastAsia="tr-TR"/>
        </w:rPr>
        <w:t>.,</w:t>
      </w:r>
      <w:proofErr w:type="gramEnd"/>
      <w:r w:rsidR="00E103AC" w:rsidRPr="003D5488">
        <w:rPr>
          <w:rFonts w:ascii="Times New Roman" w:eastAsia="Times New Roman" w:hAnsi="Times New Roman" w:cs="Times New Roman"/>
          <w:i/>
          <w:iCs/>
          <w:sz w:val="24"/>
          <w:szCs w:val="24"/>
          <w:lang w:eastAsia="tr-TR"/>
        </w:rPr>
        <w:t xml:space="preserve"> V. ve A. v. Danimarka </w:t>
      </w:r>
      <w:r w:rsidR="00E103AC" w:rsidRPr="003D5488">
        <w:rPr>
          <w:rFonts w:ascii="Times New Roman" w:eastAsia="Times New Roman" w:hAnsi="Times New Roman" w:cs="Times New Roman"/>
          <w:sz w:val="24"/>
          <w:szCs w:val="24"/>
          <w:lang w:eastAsia="tr-TR"/>
        </w:rPr>
        <w:t xml:space="preserve">[BD], </w:t>
      </w:r>
      <w:proofErr w:type="spellStart"/>
      <w:r w:rsidR="00E103AC" w:rsidRPr="003D5488">
        <w:rPr>
          <w:rFonts w:ascii="Times New Roman" w:eastAsia="Times New Roman" w:hAnsi="Times New Roman" w:cs="Times New Roman"/>
          <w:sz w:val="24"/>
          <w:szCs w:val="24"/>
          <w:lang w:eastAsia="tr-TR"/>
        </w:rPr>
        <w:t>no</w:t>
      </w:r>
      <w:proofErr w:type="spellEnd"/>
      <w:r w:rsidR="00E103AC" w:rsidRPr="003D5488">
        <w:rPr>
          <w:rFonts w:ascii="Times New Roman" w:eastAsia="Times New Roman" w:hAnsi="Times New Roman" w:cs="Times New Roman"/>
          <w:sz w:val="24"/>
          <w:szCs w:val="24"/>
          <w:lang w:eastAsia="tr-TR"/>
        </w:rPr>
        <w:t>. 35553/12 ve diğer 2 , § 73, 22 Ekim 2018).</w:t>
      </w:r>
    </w:p>
    <w:p w:rsidR="00E103AC" w:rsidRPr="003D5488" w:rsidRDefault="00441BD9" w:rsidP="00441BD9">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313</w:t>
      </w:r>
      <w:r w:rsidR="004907BB" w:rsidRPr="003D5488">
        <w:rPr>
          <w:rFonts w:ascii="Times New Roman" w:eastAsia="Times New Roman" w:hAnsi="Times New Roman" w:cs="Times New Roman"/>
          <w:sz w:val="24"/>
          <w:szCs w:val="24"/>
          <w:lang w:eastAsia="tr-TR"/>
        </w:rPr>
        <w:t>. </w:t>
      </w:r>
      <w:r w:rsidR="00E103AC" w:rsidRPr="003D5488">
        <w:rPr>
          <w:rFonts w:ascii="Times New Roman" w:eastAsia="Times New Roman" w:hAnsi="Times New Roman" w:cs="Times New Roman"/>
          <w:sz w:val="24"/>
          <w:szCs w:val="24"/>
          <w:lang w:eastAsia="tr-TR"/>
        </w:rPr>
        <w:t xml:space="preserve"> “Kanun ile öngörülmüş” olup olmadığı </w:t>
      </w:r>
      <w:r w:rsidR="00DA1D16">
        <w:rPr>
          <w:rFonts w:ascii="Times New Roman" w:eastAsia="Times New Roman" w:hAnsi="Times New Roman" w:cs="Times New Roman"/>
          <w:sz w:val="24"/>
          <w:szCs w:val="24"/>
          <w:lang w:eastAsia="tr-TR"/>
        </w:rPr>
        <w:t>dâhil</w:t>
      </w:r>
      <w:r w:rsidR="00E103AC" w:rsidRPr="003D5488">
        <w:rPr>
          <w:rFonts w:ascii="Times New Roman" w:eastAsia="Times New Roman" w:hAnsi="Times New Roman" w:cs="Times New Roman"/>
          <w:sz w:val="24"/>
          <w:szCs w:val="24"/>
          <w:lang w:eastAsia="tr-TR"/>
        </w:rPr>
        <w:t xml:space="preserve">, tutuklamanın “hukukiliği” söz konusu olduğunda, Sözleşme, esas olarak ulusal mevzuata atıf yaparak usul ve esas yönden uygunluk yükümlülüğünü oraya yüklemektedir. Bu da öncelikli olarak gözaltı ya da tutuklamanın kanuni dayanağının olmasını gerektirmektedir. (bkz. </w:t>
      </w:r>
      <w:proofErr w:type="spellStart"/>
      <w:r w:rsidR="00E103AC" w:rsidRPr="003D5488">
        <w:rPr>
          <w:rFonts w:ascii="Times New Roman" w:eastAsia="Times New Roman" w:hAnsi="Times New Roman" w:cs="Times New Roman"/>
          <w:i/>
          <w:iCs/>
          <w:sz w:val="24"/>
          <w:szCs w:val="24"/>
          <w:lang w:eastAsia="tr-TR"/>
        </w:rPr>
        <w:t>Mooren</w:t>
      </w:r>
      <w:proofErr w:type="spellEnd"/>
      <w:r w:rsidR="00E103AC" w:rsidRPr="003D5488">
        <w:rPr>
          <w:rFonts w:ascii="Times New Roman" w:eastAsia="Times New Roman" w:hAnsi="Times New Roman" w:cs="Times New Roman"/>
          <w:i/>
          <w:iCs/>
          <w:sz w:val="24"/>
          <w:szCs w:val="24"/>
          <w:lang w:eastAsia="tr-TR"/>
        </w:rPr>
        <w:t xml:space="preserve"> v. Almanya </w:t>
      </w:r>
      <w:r w:rsidR="00E103AC" w:rsidRPr="003D5488">
        <w:rPr>
          <w:rFonts w:ascii="Times New Roman" w:eastAsia="Times New Roman" w:hAnsi="Times New Roman" w:cs="Times New Roman"/>
          <w:sz w:val="24"/>
          <w:szCs w:val="24"/>
          <w:lang w:eastAsia="tr-TR"/>
        </w:rPr>
        <w:t xml:space="preserve">[BD], </w:t>
      </w:r>
      <w:proofErr w:type="spellStart"/>
      <w:r w:rsidR="00E103AC" w:rsidRPr="003D5488">
        <w:rPr>
          <w:rFonts w:ascii="Times New Roman" w:eastAsia="Times New Roman" w:hAnsi="Times New Roman" w:cs="Times New Roman"/>
          <w:sz w:val="24"/>
          <w:szCs w:val="24"/>
          <w:lang w:eastAsia="tr-TR"/>
        </w:rPr>
        <w:t>no</w:t>
      </w:r>
      <w:proofErr w:type="spellEnd"/>
      <w:r w:rsidR="00E103AC" w:rsidRPr="003D5488">
        <w:rPr>
          <w:rFonts w:ascii="Times New Roman" w:eastAsia="Times New Roman" w:hAnsi="Times New Roman" w:cs="Times New Roman"/>
          <w:sz w:val="24"/>
          <w:szCs w:val="24"/>
          <w:lang w:eastAsia="tr-TR"/>
        </w:rPr>
        <w:t>. </w:t>
      </w:r>
      <w:r w:rsidR="00E103AC" w:rsidRPr="00332962">
        <w:rPr>
          <w:rFonts w:ascii="Times New Roman" w:eastAsia="Times New Roman" w:hAnsi="Times New Roman" w:cs="Times New Roman"/>
          <w:sz w:val="24"/>
          <w:szCs w:val="24"/>
          <w:lang w:eastAsia="tr-TR"/>
        </w:rPr>
        <w:t>11364/03</w:t>
      </w:r>
      <w:r w:rsidR="00E103AC" w:rsidRPr="003D5488">
        <w:rPr>
          <w:rFonts w:ascii="Times New Roman" w:eastAsia="Times New Roman" w:hAnsi="Times New Roman" w:cs="Times New Roman"/>
          <w:sz w:val="24"/>
          <w:szCs w:val="24"/>
          <w:lang w:eastAsia="tr-TR"/>
        </w:rPr>
        <w:t>, § 72, 9 Temmuz 2009, daha ileri atıflar için).</w:t>
      </w:r>
    </w:p>
    <w:p w:rsidR="00E103AC" w:rsidRPr="00332962" w:rsidRDefault="00E103AC" w:rsidP="00E103AC">
      <w:pPr>
        <w:shd w:val="clear" w:color="auto" w:fill="FFFFFF"/>
        <w:spacing w:after="0" w:line="240" w:lineRule="auto"/>
        <w:jc w:val="both"/>
        <w:rPr>
          <w:rFonts w:ascii="Times New Roman" w:eastAsia="Times New Roman" w:hAnsi="Times New Roman" w:cs="Times New Roman"/>
          <w:sz w:val="24"/>
          <w:szCs w:val="24"/>
          <w:shd w:val="clear" w:color="auto" w:fill="FFFFFF"/>
          <w:lang w:eastAsia="tr-TR"/>
        </w:rPr>
      </w:pPr>
      <w:r w:rsidRPr="003D5488">
        <w:rPr>
          <w:rFonts w:ascii="Times New Roman" w:eastAsia="Times New Roman" w:hAnsi="Times New Roman" w:cs="Times New Roman"/>
          <w:sz w:val="24"/>
          <w:szCs w:val="24"/>
          <w:shd w:val="clear" w:color="auto" w:fill="FFFFFF"/>
          <w:lang w:eastAsia="tr-TR"/>
        </w:rPr>
        <w:t>314. Mahkeme, bir kişinin suç işlediğine dair makul şüpheye dayanılarak yetkili adli makamlar önüne çıkartılması amacıyla ceza yargılamaları kapsamında ve Sözleşme’nin 5. maddesinin 1. fıkrasının c bendi uyarınca tutuklanabileceğini yinelemektedir.</w:t>
      </w:r>
      <w:r w:rsidRPr="003D5488">
        <w:rPr>
          <w:rFonts w:ascii="Times New Roman" w:eastAsia="Times New Roman" w:hAnsi="Times New Roman" w:cs="Times New Roman"/>
          <w:sz w:val="24"/>
          <w:szCs w:val="24"/>
          <w:lang w:eastAsia="tr-TR"/>
        </w:rPr>
        <w:t xml:space="preserve"> (bkz. </w:t>
      </w:r>
      <w:proofErr w:type="spellStart"/>
      <w:r w:rsidRPr="003D5488">
        <w:rPr>
          <w:rFonts w:ascii="Times New Roman" w:eastAsia="Times New Roman" w:hAnsi="Times New Roman" w:cs="Times New Roman"/>
          <w:i/>
          <w:iCs/>
          <w:sz w:val="24"/>
          <w:szCs w:val="24"/>
          <w:lang w:eastAsia="tr-TR"/>
        </w:rPr>
        <w:t>Jėčius</w:t>
      </w:r>
      <w:proofErr w:type="spellEnd"/>
      <w:r w:rsidRPr="003D5488">
        <w:rPr>
          <w:rFonts w:ascii="Times New Roman" w:eastAsia="Times New Roman" w:hAnsi="Times New Roman" w:cs="Times New Roman"/>
          <w:i/>
          <w:iCs/>
          <w:sz w:val="24"/>
          <w:szCs w:val="24"/>
          <w:lang w:eastAsia="tr-TR"/>
        </w:rPr>
        <w:t xml:space="preserve"> v. Litvanya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w:t>
      </w:r>
      <w:r w:rsidRPr="00332962">
        <w:rPr>
          <w:rFonts w:ascii="Times New Roman" w:eastAsia="Times New Roman" w:hAnsi="Times New Roman" w:cs="Times New Roman"/>
          <w:sz w:val="24"/>
          <w:szCs w:val="24"/>
          <w:lang w:eastAsia="tr-TR"/>
        </w:rPr>
        <w:t>34578/97, § 50, ECHR 2000-IX; </w:t>
      </w:r>
      <w:proofErr w:type="spellStart"/>
      <w:r w:rsidRPr="00332962">
        <w:rPr>
          <w:rFonts w:ascii="Times New Roman" w:eastAsia="Times New Roman" w:hAnsi="Times New Roman" w:cs="Times New Roman"/>
          <w:i/>
          <w:iCs/>
          <w:sz w:val="24"/>
          <w:szCs w:val="24"/>
          <w:lang w:eastAsia="tr-TR"/>
        </w:rPr>
        <w:t>Włoch</w:t>
      </w:r>
      <w:proofErr w:type="spellEnd"/>
      <w:r w:rsidRPr="00332962">
        <w:rPr>
          <w:rFonts w:ascii="Times New Roman" w:eastAsia="Times New Roman" w:hAnsi="Times New Roman" w:cs="Times New Roman"/>
          <w:i/>
          <w:iCs/>
          <w:sz w:val="24"/>
          <w:szCs w:val="24"/>
          <w:lang w:eastAsia="tr-TR"/>
        </w:rPr>
        <w:t xml:space="preserve"> v. Polonya</w:t>
      </w:r>
      <w:r w:rsidRPr="00332962">
        <w:rPr>
          <w:rFonts w:ascii="Times New Roman" w:eastAsia="Times New Roman" w:hAnsi="Times New Roman" w:cs="Times New Roman"/>
          <w:sz w:val="24"/>
          <w:szCs w:val="24"/>
          <w:lang w:eastAsia="tr-TR"/>
        </w:rPr>
        <w:t xml:space="preserve">,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27785/95, § 108, ECHR 2000-</w:t>
      </w:r>
      <w:proofErr w:type="gramStart"/>
      <w:r w:rsidRPr="00332962">
        <w:rPr>
          <w:rFonts w:ascii="Times New Roman" w:eastAsia="Times New Roman" w:hAnsi="Times New Roman" w:cs="Times New Roman"/>
          <w:sz w:val="24"/>
          <w:szCs w:val="24"/>
          <w:lang w:eastAsia="tr-TR"/>
        </w:rPr>
        <w:t>XI;</w:t>
      </w:r>
      <w:proofErr w:type="gramEnd"/>
      <w:r w:rsidRPr="00332962">
        <w:rPr>
          <w:rFonts w:ascii="Times New Roman" w:eastAsia="Times New Roman" w:hAnsi="Times New Roman" w:cs="Times New Roman"/>
          <w:sz w:val="24"/>
          <w:szCs w:val="24"/>
          <w:lang w:eastAsia="tr-TR"/>
        </w:rPr>
        <w:t xml:space="preserve"> ve </w:t>
      </w:r>
      <w:r w:rsidRPr="00332962">
        <w:rPr>
          <w:rFonts w:ascii="Times New Roman" w:eastAsia="Times New Roman" w:hAnsi="Times New Roman" w:cs="Times New Roman"/>
          <w:i/>
          <w:iCs/>
          <w:sz w:val="24"/>
          <w:szCs w:val="24"/>
          <w:lang w:eastAsia="tr-TR"/>
        </w:rPr>
        <w:t xml:space="preserve">Poyraz v. Türkiye </w:t>
      </w:r>
      <w:r w:rsidRPr="00332962">
        <w:rPr>
          <w:rFonts w:ascii="Times New Roman" w:eastAsia="Times New Roman" w:hAnsi="Times New Roman" w:cs="Times New Roman"/>
          <w:sz w:val="24"/>
          <w:szCs w:val="24"/>
          <w:lang w:eastAsia="tr-TR"/>
        </w:rPr>
        <w:t xml:space="preserve">(kek),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21235/11, § 53, 17 Şubat 20</w:t>
      </w:r>
      <w:r w:rsidRPr="003D5488">
        <w:rPr>
          <w:rFonts w:ascii="Times New Roman" w:eastAsia="Times New Roman" w:hAnsi="Times New Roman" w:cs="Times New Roman"/>
          <w:sz w:val="24"/>
          <w:szCs w:val="24"/>
          <w:lang w:eastAsia="tr-TR"/>
        </w:rPr>
        <w:t xml:space="preserve">15). </w:t>
      </w:r>
      <w:r w:rsidRPr="003D5488">
        <w:rPr>
          <w:rFonts w:ascii="Times New Roman" w:eastAsia="Times New Roman" w:hAnsi="Times New Roman" w:cs="Times New Roman"/>
          <w:sz w:val="24"/>
          <w:szCs w:val="24"/>
          <w:shd w:val="clear" w:color="auto" w:fill="FFFFFF"/>
          <w:lang w:eastAsia="tr-TR"/>
        </w:rPr>
        <w:t xml:space="preserve">Yakalamanın dayandırılması gereken şüphenin “makullüğü”, Sözleşme’nin 5. maddesinin 1. fıkrasının c bendinde belirtilen güvencenin </w:t>
      </w:r>
      <w:r w:rsidRPr="00332962">
        <w:rPr>
          <w:rFonts w:ascii="Times New Roman" w:eastAsia="Times New Roman" w:hAnsi="Times New Roman" w:cs="Times New Roman"/>
          <w:sz w:val="24"/>
          <w:szCs w:val="24"/>
          <w:shd w:val="clear" w:color="auto" w:fill="FFFFFF"/>
          <w:lang w:eastAsia="tr-TR"/>
        </w:rPr>
        <w:t xml:space="preserve">önemli bir parçasını teşkil etmektedir. Makul şüphenin olması, objektif bir gözlemciyi ilgili kişinin suç işlemiş olabileceği konusunda ikna edecek bilgi ve olguların bulunduğu varsayımına dayanmaktadır. Ancak “makul” olması, bütün koşullara bağlıdır. </w:t>
      </w:r>
      <w:r w:rsidRPr="00332962">
        <w:rPr>
          <w:rFonts w:ascii="Times New Roman" w:eastAsia="Times New Roman" w:hAnsi="Times New Roman" w:cs="Times New Roman"/>
          <w:sz w:val="24"/>
          <w:szCs w:val="24"/>
          <w:lang w:eastAsia="tr-TR"/>
        </w:rPr>
        <w:t xml:space="preserve">(bkz. </w:t>
      </w:r>
      <w:proofErr w:type="spellStart"/>
      <w:r w:rsidRPr="00332962">
        <w:rPr>
          <w:rFonts w:ascii="Times New Roman" w:eastAsia="Times New Roman" w:hAnsi="Times New Roman" w:cs="Times New Roman"/>
          <w:i/>
          <w:iCs/>
          <w:sz w:val="24"/>
          <w:szCs w:val="24"/>
          <w:lang w:eastAsia="tr-TR"/>
        </w:rPr>
        <w:t>Fox</w:t>
      </w:r>
      <w:proofErr w:type="spellEnd"/>
      <w:r w:rsidRPr="00332962">
        <w:rPr>
          <w:rFonts w:ascii="Times New Roman" w:eastAsia="Times New Roman" w:hAnsi="Times New Roman" w:cs="Times New Roman"/>
          <w:i/>
          <w:iCs/>
          <w:sz w:val="24"/>
          <w:szCs w:val="24"/>
          <w:lang w:eastAsia="tr-TR"/>
        </w:rPr>
        <w:t xml:space="preserve">, </w:t>
      </w:r>
      <w:proofErr w:type="spellStart"/>
      <w:r w:rsidRPr="00332962">
        <w:rPr>
          <w:rFonts w:ascii="Times New Roman" w:eastAsia="Times New Roman" w:hAnsi="Times New Roman" w:cs="Times New Roman"/>
          <w:i/>
          <w:iCs/>
          <w:sz w:val="24"/>
          <w:szCs w:val="24"/>
          <w:lang w:eastAsia="tr-TR"/>
        </w:rPr>
        <w:t>Campbell</w:t>
      </w:r>
      <w:proofErr w:type="spellEnd"/>
      <w:r w:rsidRPr="00332962">
        <w:rPr>
          <w:rFonts w:ascii="Times New Roman" w:eastAsia="Times New Roman" w:hAnsi="Times New Roman" w:cs="Times New Roman"/>
          <w:i/>
          <w:iCs/>
          <w:sz w:val="24"/>
          <w:szCs w:val="24"/>
          <w:lang w:eastAsia="tr-TR"/>
        </w:rPr>
        <w:t xml:space="preserve"> ve </w:t>
      </w:r>
      <w:proofErr w:type="spellStart"/>
      <w:r w:rsidRPr="00332962">
        <w:rPr>
          <w:rFonts w:ascii="Times New Roman" w:eastAsia="Times New Roman" w:hAnsi="Times New Roman" w:cs="Times New Roman"/>
          <w:i/>
          <w:iCs/>
          <w:sz w:val="24"/>
          <w:szCs w:val="24"/>
          <w:lang w:eastAsia="tr-TR"/>
        </w:rPr>
        <w:t>Hartley</w:t>
      </w:r>
      <w:proofErr w:type="spellEnd"/>
      <w:r w:rsidRPr="00332962">
        <w:rPr>
          <w:rFonts w:ascii="Times New Roman" w:eastAsia="Times New Roman" w:hAnsi="Times New Roman" w:cs="Times New Roman"/>
          <w:i/>
          <w:iCs/>
          <w:sz w:val="24"/>
          <w:szCs w:val="24"/>
          <w:lang w:eastAsia="tr-TR"/>
        </w:rPr>
        <w:t xml:space="preserve"> v. Birleşik Krallık</w:t>
      </w:r>
      <w:r w:rsidRPr="00332962">
        <w:rPr>
          <w:rFonts w:ascii="Times New Roman" w:eastAsia="Times New Roman" w:hAnsi="Times New Roman" w:cs="Times New Roman"/>
          <w:sz w:val="24"/>
          <w:szCs w:val="24"/>
          <w:lang w:eastAsia="tr-TR"/>
        </w:rPr>
        <w:t xml:space="preserve">, 30 Ağustos 1990, § 32, Seri A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182; </w:t>
      </w:r>
      <w:proofErr w:type="spellStart"/>
      <w:r w:rsidRPr="00332962">
        <w:rPr>
          <w:rFonts w:ascii="Times New Roman" w:eastAsia="Times New Roman" w:hAnsi="Times New Roman" w:cs="Times New Roman"/>
          <w:i/>
          <w:iCs/>
          <w:sz w:val="24"/>
          <w:szCs w:val="24"/>
          <w:lang w:eastAsia="tr-TR"/>
        </w:rPr>
        <w:t>O’Hara</w:t>
      </w:r>
      <w:proofErr w:type="spellEnd"/>
      <w:r w:rsidRPr="00332962">
        <w:rPr>
          <w:rFonts w:ascii="Times New Roman" w:eastAsia="Times New Roman" w:hAnsi="Times New Roman" w:cs="Times New Roman"/>
          <w:i/>
          <w:iCs/>
          <w:sz w:val="24"/>
          <w:szCs w:val="24"/>
          <w:lang w:eastAsia="tr-TR"/>
        </w:rPr>
        <w:t xml:space="preserve"> v. Birleşik Krallık</w:t>
      </w:r>
      <w:r w:rsidRPr="00332962">
        <w:rPr>
          <w:rFonts w:ascii="Times New Roman" w:eastAsia="Times New Roman" w:hAnsi="Times New Roman" w:cs="Times New Roman"/>
          <w:sz w:val="24"/>
          <w:szCs w:val="24"/>
          <w:lang w:eastAsia="tr-TR"/>
        </w:rPr>
        <w:t xml:space="preserve">,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37555/97, § 34, ECHR 2001-X; </w:t>
      </w:r>
      <w:r w:rsidRPr="00332962">
        <w:rPr>
          <w:rFonts w:ascii="Times New Roman" w:eastAsia="Times New Roman" w:hAnsi="Times New Roman" w:cs="Times New Roman"/>
          <w:i/>
          <w:iCs/>
          <w:sz w:val="24"/>
          <w:szCs w:val="24"/>
          <w:lang w:eastAsia="tr-TR"/>
        </w:rPr>
        <w:t xml:space="preserve">Çiçek v. Türkiye </w:t>
      </w:r>
      <w:r w:rsidRPr="00332962">
        <w:rPr>
          <w:rFonts w:ascii="Times New Roman" w:eastAsia="Times New Roman" w:hAnsi="Times New Roman" w:cs="Times New Roman"/>
          <w:sz w:val="24"/>
          <w:szCs w:val="24"/>
          <w:lang w:eastAsia="tr-TR"/>
        </w:rPr>
        <w:t xml:space="preserve">(kek),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72774/10, § 62, 3 Mart 2015; </w:t>
      </w:r>
      <w:r w:rsidRPr="00332962">
        <w:rPr>
          <w:rFonts w:ascii="Times New Roman" w:eastAsia="Times New Roman" w:hAnsi="Times New Roman" w:cs="Times New Roman"/>
          <w:i/>
          <w:iCs/>
          <w:sz w:val="24"/>
          <w:szCs w:val="24"/>
          <w:lang w:eastAsia="tr-TR"/>
        </w:rPr>
        <w:t>Mehmet Hasan Altan</w:t>
      </w:r>
      <w:r w:rsidRPr="00332962">
        <w:rPr>
          <w:rFonts w:ascii="Times New Roman" w:eastAsia="Times New Roman" w:hAnsi="Times New Roman" w:cs="Times New Roman"/>
          <w:sz w:val="24"/>
          <w:szCs w:val="24"/>
          <w:lang w:eastAsia="tr-TR"/>
        </w:rPr>
        <w:t xml:space="preserve">, yukarıda anılan, § </w:t>
      </w:r>
      <w:proofErr w:type="gramStart"/>
      <w:r w:rsidRPr="00332962">
        <w:rPr>
          <w:rFonts w:ascii="Times New Roman" w:eastAsia="Times New Roman" w:hAnsi="Times New Roman" w:cs="Times New Roman"/>
          <w:sz w:val="24"/>
          <w:szCs w:val="24"/>
          <w:lang w:eastAsia="tr-TR"/>
        </w:rPr>
        <w:t>124;</w:t>
      </w:r>
      <w:proofErr w:type="gramEnd"/>
      <w:r w:rsidRPr="00332962">
        <w:rPr>
          <w:rFonts w:ascii="Times New Roman" w:eastAsia="Times New Roman" w:hAnsi="Times New Roman" w:cs="Times New Roman"/>
          <w:sz w:val="24"/>
          <w:szCs w:val="24"/>
          <w:lang w:eastAsia="tr-TR"/>
        </w:rPr>
        <w:t xml:space="preserve"> ve </w:t>
      </w:r>
      <w:r w:rsidRPr="00332962">
        <w:rPr>
          <w:rFonts w:ascii="Times New Roman" w:eastAsia="Times New Roman" w:hAnsi="Times New Roman" w:cs="Times New Roman"/>
          <w:i/>
          <w:iCs/>
          <w:sz w:val="24"/>
          <w:szCs w:val="24"/>
          <w:lang w:eastAsia="tr-TR"/>
        </w:rPr>
        <w:t>Şahin Alpay</w:t>
      </w:r>
      <w:r w:rsidRPr="00332962">
        <w:rPr>
          <w:rFonts w:ascii="Times New Roman" w:eastAsia="Times New Roman" w:hAnsi="Times New Roman" w:cs="Times New Roman"/>
          <w:sz w:val="24"/>
          <w:szCs w:val="24"/>
          <w:lang w:eastAsia="tr-TR"/>
        </w:rPr>
        <w:t>, yukarıda anılan, § 103).</w:t>
      </w:r>
    </w:p>
    <w:p w:rsidR="00E103AC" w:rsidRPr="003D5488" w:rsidRDefault="00E103AC" w:rsidP="00E103AC">
      <w:pPr>
        <w:shd w:val="clear" w:color="auto" w:fill="FFFFFF"/>
        <w:spacing w:after="0" w:line="240"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315. Sözleşme'nin 5. maddesinin 1. fıkrasının c bendi, soruşturma makamlarının yakalama sırasında veya başvurucu gözaltındayken yeterli delil elde etmiş olması gerektiğini öngörmemektedir. Tutuklama sırasında 5. maddesinin 1. fıkrasının c bendine göre sorgulamanın amacı, tutuklamaya dayanak olan somut şüphenin varlığından emin olarak veya o şüpheyi ortadan kaldırarak ceza soruşturmasını ilerletmektir. Bu nedenle, şüphe uyandıran olayın, bir </w:t>
      </w:r>
      <w:proofErr w:type="gramStart"/>
      <w:r w:rsidRPr="003D5488">
        <w:rPr>
          <w:rFonts w:ascii="Times New Roman" w:eastAsia="Times New Roman" w:hAnsi="Times New Roman" w:cs="Times New Roman"/>
          <w:sz w:val="24"/>
          <w:szCs w:val="24"/>
          <w:lang w:eastAsia="tr-TR"/>
        </w:rPr>
        <w:t>mahkumiyeti</w:t>
      </w:r>
      <w:proofErr w:type="gramEnd"/>
      <w:r w:rsidRPr="003D5488">
        <w:rPr>
          <w:rFonts w:ascii="Times New Roman" w:eastAsia="Times New Roman" w:hAnsi="Times New Roman" w:cs="Times New Roman"/>
          <w:sz w:val="24"/>
          <w:szCs w:val="24"/>
          <w:lang w:eastAsia="tr-TR"/>
        </w:rPr>
        <w:t xml:space="preserve"> gerekçelendirmek için gerekli olan veya </w:t>
      </w:r>
      <w:r w:rsidRPr="003D5488">
        <w:rPr>
          <w:rFonts w:ascii="Times New Roman" w:eastAsia="Times New Roman" w:hAnsi="Times New Roman" w:cs="Times New Roman"/>
          <w:sz w:val="24"/>
          <w:szCs w:val="24"/>
          <w:lang w:eastAsia="tr-TR"/>
        </w:rPr>
        <w:lastRenderedPageBreak/>
        <w:t xml:space="preserve">ceza soruşturması sürecinin bir </w:t>
      </w:r>
      <w:r w:rsidRPr="00332962">
        <w:rPr>
          <w:rFonts w:ascii="Times New Roman" w:eastAsia="Times New Roman" w:hAnsi="Times New Roman" w:cs="Times New Roman"/>
          <w:sz w:val="24"/>
          <w:szCs w:val="24"/>
          <w:lang w:eastAsia="tr-TR"/>
        </w:rPr>
        <w:t xml:space="preserve">sonraki aşamasında ileri sürülen suçlama ile aynı düzeyde olması gerekmez. (bkz. </w:t>
      </w:r>
      <w:proofErr w:type="spellStart"/>
      <w:r w:rsidRPr="00332962">
        <w:rPr>
          <w:rFonts w:ascii="Times New Roman" w:eastAsia="Times New Roman" w:hAnsi="Times New Roman" w:cs="Times New Roman"/>
          <w:i/>
          <w:iCs/>
          <w:sz w:val="24"/>
          <w:szCs w:val="24"/>
          <w:lang w:eastAsia="tr-TR"/>
        </w:rPr>
        <w:t>Murray</w:t>
      </w:r>
      <w:proofErr w:type="spellEnd"/>
      <w:r w:rsidRPr="00332962">
        <w:rPr>
          <w:rFonts w:ascii="Times New Roman" w:eastAsia="Times New Roman" w:hAnsi="Times New Roman" w:cs="Times New Roman"/>
          <w:i/>
          <w:iCs/>
          <w:sz w:val="24"/>
          <w:szCs w:val="24"/>
          <w:lang w:eastAsia="tr-TR"/>
        </w:rPr>
        <w:t xml:space="preserve"> v. Birleşik Krallık, </w:t>
      </w:r>
      <w:r w:rsidRPr="00332962">
        <w:rPr>
          <w:rFonts w:ascii="Times New Roman" w:eastAsia="Times New Roman" w:hAnsi="Times New Roman" w:cs="Times New Roman"/>
          <w:sz w:val="24"/>
          <w:szCs w:val="24"/>
          <w:lang w:eastAsia="tr-TR"/>
        </w:rPr>
        <w:t xml:space="preserve">28 Ekim 1994, § 55, Seri A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300-A; </w:t>
      </w:r>
      <w:r w:rsidRPr="00332962">
        <w:rPr>
          <w:rFonts w:ascii="Times New Roman" w:eastAsia="Times New Roman" w:hAnsi="Times New Roman" w:cs="Times New Roman"/>
          <w:i/>
          <w:iCs/>
          <w:sz w:val="24"/>
          <w:szCs w:val="24"/>
          <w:lang w:eastAsia="tr-TR"/>
        </w:rPr>
        <w:t>Yüksel ve Diğerleri v. Türkiye</w:t>
      </w:r>
      <w:r w:rsidRPr="00332962">
        <w:rPr>
          <w:rFonts w:ascii="Times New Roman" w:eastAsia="Times New Roman" w:hAnsi="Times New Roman" w:cs="Times New Roman"/>
          <w:sz w:val="24"/>
          <w:szCs w:val="24"/>
          <w:lang w:eastAsia="tr-TR"/>
        </w:rPr>
        <w:t xml:space="preserve">,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xml:space="preserve">. 55835/09 ve diğer 2, § 52, 31 Mayıs </w:t>
      </w:r>
      <w:proofErr w:type="gramStart"/>
      <w:r w:rsidRPr="00332962">
        <w:rPr>
          <w:rFonts w:ascii="Times New Roman" w:eastAsia="Times New Roman" w:hAnsi="Times New Roman" w:cs="Times New Roman"/>
          <w:sz w:val="24"/>
          <w:szCs w:val="24"/>
          <w:lang w:eastAsia="tr-TR"/>
        </w:rPr>
        <w:t>2016;</w:t>
      </w:r>
      <w:proofErr w:type="gramEnd"/>
      <w:r w:rsidRPr="00332962">
        <w:rPr>
          <w:rFonts w:ascii="Times New Roman" w:eastAsia="Times New Roman" w:hAnsi="Times New Roman" w:cs="Times New Roman"/>
          <w:sz w:val="24"/>
          <w:szCs w:val="24"/>
          <w:lang w:eastAsia="tr-TR"/>
        </w:rPr>
        <w:t xml:space="preserve"> ve </w:t>
      </w:r>
      <w:r w:rsidRPr="00332962">
        <w:rPr>
          <w:rFonts w:ascii="Times New Roman" w:eastAsia="Times New Roman" w:hAnsi="Times New Roman" w:cs="Times New Roman"/>
          <w:i/>
          <w:iCs/>
          <w:sz w:val="24"/>
          <w:szCs w:val="24"/>
          <w:lang w:eastAsia="tr-TR"/>
        </w:rPr>
        <w:t>Alparslan Altan v. Türkiye</w:t>
      </w:r>
      <w:r w:rsidRPr="00332962">
        <w:rPr>
          <w:rFonts w:ascii="Times New Roman" w:eastAsia="Times New Roman" w:hAnsi="Times New Roman" w:cs="Times New Roman"/>
          <w:sz w:val="24"/>
          <w:szCs w:val="24"/>
          <w:lang w:eastAsia="tr-TR"/>
        </w:rPr>
        <w:t>,</w:t>
      </w:r>
      <w:r w:rsidRPr="00332962">
        <w:rPr>
          <w:rFonts w:ascii="Times New Roman" w:eastAsia="Times New Roman" w:hAnsi="Times New Roman" w:cs="Times New Roman"/>
          <w:i/>
          <w:iCs/>
          <w:sz w:val="24"/>
          <w:szCs w:val="24"/>
          <w:lang w:eastAsia="tr-TR"/>
        </w:rPr>
        <w:t>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12778/17, § 127, 16 Nisan 2019</w:t>
      </w:r>
      <w:r w:rsidRPr="003D5488">
        <w:rPr>
          <w:rFonts w:ascii="Times New Roman" w:eastAsia="Times New Roman" w:hAnsi="Times New Roman" w:cs="Times New Roman"/>
          <w:sz w:val="24"/>
          <w:szCs w:val="24"/>
          <w:lang w:eastAsia="tr-TR"/>
        </w:rPr>
        <w:t>).</w:t>
      </w:r>
    </w:p>
    <w:p w:rsidR="00E103AC" w:rsidRPr="003D5488" w:rsidRDefault="00E103AC" w:rsidP="00E103AC">
      <w:pPr>
        <w:shd w:val="clear" w:color="auto" w:fill="FFFFFF"/>
        <w:spacing w:after="0" w:line="240"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316. Mahkeme’nin görevi,</w:t>
      </w:r>
      <w:r w:rsidRPr="003D5488">
        <w:rPr>
          <w:rFonts w:ascii="Times New Roman" w:eastAsia="Times New Roman" w:hAnsi="Times New Roman" w:cs="Times New Roman"/>
          <w:sz w:val="24"/>
          <w:szCs w:val="24"/>
          <w:shd w:val="clear" w:color="auto" w:fill="FFFFFF"/>
          <w:lang w:eastAsia="tr-TR"/>
        </w:rPr>
        <w:t xml:space="preserve"> hedeflenen meşru amacın izlenmesi de </w:t>
      </w:r>
      <w:r w:rsidR="00DA1D16">
        <w:rPr>
          <w:rFonts w:ascii="Times New Roman" w:eastAsia="Times New Roman" w:hAnsi="Times New Roman" w:cs="Times New Roman"/>
          <w:sz w:val="24"/>
          <w:szCs w:val="24"/>
          <w:shd w:val="clear" w:color="auto" w:fill="FFFFFF"/>
          <w:lang w:eastAsia="tr-TR"/>
        </w:rPr>
        <w:t>dâhil</w:t>
      </w:r>
      <w:r w:rsidRPr="003D5488">
        <w:rPr>
          <w:rFonts w:ascii="Times New Roman" w:eastAsia="Times New Roman" w:hAnsi="Times New Roman" w:cs="Times New Roman"/>
          <w:sz w:val="24"/>
          <w:szCs w:val="24"/>
          <w:shd w:val="clear" w:color="auto" w:fill="FFFFFF"/>
          <w:lang w:eastAsia="tr-TR"/>
        </w:rPr>
        <w:t xml:space="preserve"> olmak üzere, Sözleşme’nin 5. maddesinin 1. fıkrasının c bendinde belirtilen koşulların, önündeki davada yerine getirilip getirilmediğini tespit etmekten ibarettir. Bu bağlamda Mahkeme genellikle olaylara ilişkin kendi değerlendirmesinde, kendisini, kendisine sunulan delilleri değerlendirmek için daha iyi konumda olan yerel mahkemelerin değerlendirmesinin yerine koymakla görevli görmez. </w:t>
      </w:r>
      <w:r w:rsidRPr="003D5488">
        <w:rPr>
          <w:rFonts w:ascii="Times New Roman" w:eastAsia="Times New Roman" w:hAnsi="Times New Roman" w:cs="Times New Roman"/>
          <w:sz w:val="24"/>
          <w:szCs w:val="24"/>
          <w:lang w:eastAsia="tr-TR"/>
        </w:rPr>
        <w:t>(bakınız </w:t>
      </w:r>
      <w:r w:rsidRPr="003D5488">
        <w:rPr>
          <w:rFonts w:ascii="Times New Roman" w:eastAsia="Times New Roman" w:hAnsi="Times New Roman" w:cs="Times New Roman"/>
          <w:i/>
          <w:iCs/>
          <w:sz w:val="24"/>
          <w:szCs w:val="24"/>
          <w:lang w:eastAsia="tr-TR"/>
        </w:rPr>
        <w:t>Mergen ve Diğerleri v. Türkiye,</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xml:space="preserve">. 44062/09 ve diğer 4, § 48, 31 Mayıs </w:t>
      </w:r>
      <w:proofErr w:type="gramStart"/>
      <w:r w:rsidRPr="00332962">
        <w:rPr>
          <w:rFonts w:ascii="Times New Roman" w:eastAsia="Times New Roman" w:hAnsi="Times New Roman" w:cs="Times New Roman"/>
          <w:sz w:val="24"/>
          <w:szCs w:val="24"/>
          <w:lang w:eastAsia="tr-TR"/>
        </w:rPr>
        <w:t>2016,</w:t>
      </w:r>
      <w:proofErr w:type="gramEnd"/>
      <w:r w:rsidRPr="00332962">
        <w:rPr>
          <w:rFonts w:ascii="Times New Roman" w:eastAsia="Times New Roman" w:hAnsi="Times New Roman" w:cs="Times New Roman"/>
          <w:sz w:val="24"/>
          <w:szCs w:val="24"/>
          <w:lang w:eastAsia="tr-TR"/>
        </w:rPr>
        <w:t xml:space="preserve"> ve </w:t>
      </w:r>
      <w:r w:rsidRPr="00332962">
        <w:rPr>
          <w:rFonts w:ascii="Times New Roman" w:eastAsia="Times New Roman" w:hAnsi="Times New Roman" w:cs="Times New Roman"/>
          <w:i/>
          <w:iCs/>
          <w:sz w:val="24"/>
          <w:szCs w:val="24"/>
          <w:lang w:eastAsia="tr-TR"/>
        </w:rPr>
        <w:t>Mehmet Hasan Altan</w:t>
      </w:r>
      <w:r w:rsidR="00332962">
        <w:rPr>
          <w:rFonts w:ascii="Times New Roman" w:eastAsia="Times New Roman" w:hAnsi="Times New Roman" w:cs="Times New Roman"/>
          <w:sz w:val="24"/>
          <w:szCs w:val="24"/>
          <w:lang w:eastAsia="tr-TR"/>
        </w:rPr>
        <w:t>, yukarıda anılan, § 126).</w:t>
      </w:r>
    </w:p>
    <w:p w:rsidR="00E103AC" w:rsidRPr="003D5488" w:rsidRDefault="00E103AC" w:rsidP="00E103AC">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317. Kural olarak “makul şüphe” konusunda olgular düzeyinde sorunlar meydana gelmektedir. Bu durumda sorulması gereken, yakalama ve tutuklamanın, söz konusu olguların hakikaten gerçekleştiğine yönelik “makul bir şüphenin” gerekçelendirilmesi için yeterli seviyede ve tarafsız unsurlara dayanıp dayanmadığıdır (bk. </w:t>
      </w:r>
      <w:proofErr w:type="spellStart"/>
      <w:r w:rsidRPr="003D5488">
        <w:rPr>
          <w:rFonts w:ascii="Times New Roman" w:eastAsia="Times New Roman" w:hAnsi="Times New Roman" w:cs="Times New Roman"/>
          <w:i/>
          <w:iCs/>
          <w:sz w:val="24"/>
          <w:szCs w:val="24"/>
          <w:lang w:eastAsia="tr-TR"/>
        </w:rPr>
        <w:t>Włoch</w:t>
      </w:r>
      <w:proofErr w:type="spellEnd"/>
      <w:r w:rsidRPr="003D5488">
        <w:rPr>
          <w:rFonts w:ascii="Times New Roman" w:eastAsia="Times New Roman" w:hAnsi="Times New Roman" w:cs="Times New Roman"/>
          <w:i/>
          <w:iCs/>
          <w:sz w:val="24"/>
          <w:szCs w:val="24"/>
          <w:lang w:eastAsia="tr-TR"/>
        </w:rPr>
        <w:t xml:space="preserve"> v. Polonya</w:t>
      </w:r>
      <w:r w:rsidRPr="003D5488">
        <w:rPr>
          <w:rFonts w:ascii="Times New Roman" w:eastAsia="Times New Roman" w:hAnsi="Times New Roman" w:cs="Times New Roman"/>
          <w:sz w:val="24"/>
          <w:szCs w:val="24"/>
          <w:lang w:eastAsia="tr-TR"/>
        </w:rPr>
        <w:t xml:space="preserve">, yukarıda anılan, §§ 108-09). Olgusal yönüne ek olarak, Sözleşme’nin 5. maddesinin 1. fıkrasının c bendi anlamı </w:t>
      </w:r>
      <w:r w:rsidR="00DA1D16">
        <w:rPr>
          <w:rFonts w:ascii="Times New Roman" w:eastAsia="Times New Roman" w:hAnsi="Times New Roman" w:cs="Times New Roman"/>
          <w:sz w:val="24"/>
          <w:szCs w:val="24"/>
          <w:lang w:eastAsia="tr-TR"/>
        </w:rPr>
        <w:t>dâhil</w:t>
      </w:r>
      <w:r w:rsidRPr="003D5488">
        <w:rPr>
          <w:rFonts w:ascii="Times New Roman" w:eastAsia="Times New Roman" w:hAnsi="Times New Roman" w:cs="Times New Roman"/>
          <w:sz w:val="24"/>
          <w:szCs w:val="24"/>
          <w:lang w:eastAsia="tr-TR"/>
        </w:rPr>
        <w:t xml:space="preserve">inde, “makul bir şüphenin” varlığı, dayanılan olguların, makul bir şekilde, Ceza Kanunu’nda ceza gerektiren davranışı tanımlayan bölümlerden birinin kapsamında olarak değerlendirilebilmesini </w:t>
      </w:r>
      <w:r w:rsidRPr="00332962">
        <w:rPr>
          <w:rFonts w:ascii="Times New Roman" w:eastAsia="Times New Roman" w:hAnsi="Times New Roman" w:cs="Times New Roman"/>
          <w:sz w:val="24"/>
          <w:szCs w:val="24"/>
          <w:lang w:eastAsia="tr-TR"/>
        </w:rPr>
        <w:t xml:space="preserve">gerektirmektedir. Dolayısıyla, tutuklu bulunan bir kişiye isnat edilen eylemler veya olaylar, gerçekleştikleri dönemde suç teşkil etmiyorsa, “makul şüphe” söz konusu olamaz (bakınız </w:t>
      </w:r>
      <w:proofErr w:type="spellStart"/>
      <w:r w:rsidRPr="00332962">
        <w:rPr>
          <w:rFonts w:ascii="Times New Roman" w:eastAsia="Times New Roman" w:hAnsi="Times New Roman" w:cs="Times New Roman"/>
          <w:i/>
          <w:iCs/>
          <w:sz w:val="24"/>
          <w:szCs w:val="24"/>
          <w:lang w:eastAsia="tr-TR"/>
        </w:rPr>
        <w:t>Kandzhov</w:t>
      </w:r>
      <w:proofErr w:type="spellEnd"/>
      <w:r w:rsidRPr="00332962">
        <w:rPr>
          <w:rFonts w:ascii="Times New Roman" w:eastAsia="Times New Roman" w:hAnsi="Times New Roman" w:cs="Times New Roman"/>
          <w:i/>
          <w:iCs/>
          <w:sz w:val="24"/>
          <w:szCs w:val="24"/>
          <w:lang w:eastAsia="tr-TR"/>
        </w:rPr>
        <w:t xml:space="preserve"> v. Bulgaristan</w:t>
      </w:r>
      <w:r w:rsidRPr="00332962">
        <w:rPr>
          <w:rFonts w:ascii="Times New Roman" w:eastAsia="Times New Roman" w:hAnsi="Times New Roman" w:cs="Times New Roman"/>
          <w:sz w:val="24"/>
          <w:szCs w:val="24"/>
          <w:lang w:eastAsia="tr-TR"/>
        </w:rPr>
        <w:t xml:space="preserve">,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xml:space="preserve">. 68294/01, § 57, 6 Kasım 2008; </w:t>
      </w:r>
      <w:proofErr w:type="spellStart"/>
      <w:r w:rsidRPr="00332962">
        <w:rPr>
          <w:rFonts w:ascii="Times New Roman" w:eastAsia="Times New Roman" w:hAnsi="Times New Roman" w:cs="Times New Roman"/>
          <w:i/>
          <w:iCs/>
          <w:sz w:val="24"/>
          <w:szCs w:val="24"/>
          <w:lang w:eastAsia="tr-TR"/>
        </w:rPr>
        <w:t>Mammadli</w:t>
      </w:r>
      <w:proofErr w:type="spellEnd"/>
      <w:r w:rsidRPr="00332962">
        <w:rPr>
          <w:rFonts w:ascii="Times New Roman" w:eastAsia="Times New Roman" w:hAnsi="Times New Roman" w:cs="Times New Roman"/>
          <w:i/>
          <w:iCs/>
          <w:sz w:val="24"/>
          <w:szCs w:val="24"/>
          <w:lang w:eastAsia="tr-TR"/>
        </w:rPr>
        <w:t xml:space="preserve"> v. Azerbaycan,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xml:space="preserve">. 47145/14, § 52, 19 Nisan 2018; </w:t>
      </w:r>
      <w:r w:rsidRPr="00332962">
        <w:rPr>
          <w:rFonts w:ascii="Times New Roman" w:eastAsia="Times New Roman" w:hAnsi="Times New Roman" w:cs="Times New Roman"/>
          <w:i/>
          <w:iCs/>
          <w:sz w:val="24"/>
          <w:szCs w:val="24"/>
          <w:lang w:eastAsia="tr-TR"/>
        </w:rPr>
        <w:t>Aliyev v. Azerbaycan</w:t>
      </w:r>
      <w:r w:rsidRPr="00332962">
        <w:rPr>
          <w:rFonts w:ascii="Times New Roman" w:eastAsia="Times New Roman" w:hAnsi="Times New Roman" w:cs="Times New Roman"/>
          <w:sz w:val="24"/>
          <w:szCs w:val="24"/>
          <w:lang w:eastAsia="tr-TR"/>
        </w:rPr>
        <w:t xml:space="preserve">, </w:t>
      </w:r>
      <w:proofErr w:type="spellStart"/>
      <w:r w:rsidRPr="00332962">
        <w:rPr>
          <w:rFonts w:ascii="Times New Roman" w:eastAsia="Times New Roman" w:hAnsi="Times New Roman" w:cs="Times New Roman"/>
          <w:sz w:val="24"/>
          <w:szCs w:val="24"/>
          <w:lang w:eastAsia="tr-TR"/>
        </w:rPr>
        <w:t>no</w:t>
      </w:r>
      <w:proofErr w:type="spellEnd"/>
      <w:r w:rsidRPr="00332962">
        <w:rPr>
          <w:rFonts w:ascii="Times New Roman" w:eastAsia="Times New Roman" w:hAnsi="Times New Roman" w:cs="Times New Roman"/>
          <w:sz w:val="24"/>
          <w:szCs w:val="24"/>
          <w:lang w:eastAsia="tr-TR"/>
        </w:rPr>
        <w:t>. 68762/14 ve 71200/14, § 152, 20</w:t>
      </w:r>
      <w:r w:rsidRPr="003D5488">
        <w:rPr>
          <w:rFonts w:ascii="Times New Roman" w:eastAsia="Times New Roman" w:hAnsi="Times New Roman" w:cs="Times New Roman"/>
          <w:sz w:val="24"/>
          <w:szCs w:val="24"/>
          <w:lang w:eastAsia="tr-TR"/>
        </w:rPr>
        <w:t xml:space="preserve"> Eylül </w:t>
      </w:r>
      <w:proofErr w:type="gramStart"/>
      <w:r w:rsidRPr="003D5488">
        <w:rPr>
          <w:rFonts w:ascii="Times New Roman" w:eastAsia="Times New Roman" w:hAnsi="Times New Roman" w:cs="Times New Roman"/>
          <w:sz w:val="24"/>
          <w:szCs w:val="24"/>
          <w:lang w:eastAsia="tr-TR"/>
        </w:rPr>
        <w:t>2018;</w:t>
      </w:r>
      <w:proofErr w:type="gramEnd"/>
      <w:r w:rsidRPr="003D5488">
        <w:rPr>
          <w:rFonts w:ascii="Times New Roman" w:eastAsia="Times New Roman" w:hAnsi="Times New Roman" w:cs="Times New Roman"/>
          <w:sz w:val="24"/>
          <w:szCs w:val="24"/>
          <w:lang w:eastAsia="tr-TR"/>
        </w:rPr>
        <w:t xml:space="preserve"> ve </w:t>
      </w:r>
      <w:r w:rsidRPr="003D5488">
        <w:rPr>
          <w:rFonts w:ascii="Times New Roman" w:eastAsia="Times New Roman" w:hAnsi="Times New Roman" w:cs="Times New Roman"/>
          <w:i/>
          <w:iCs/>
          <w:sz w:val="24"/>
          <w:szCs w:val="24"/>
          <w:lang w:eastAsia="tr-TR"/>
        </w:rPr>
        <w:t>Kavala</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28749, § 128, 10 Aralık 2019).</w:t>
      </w:r>
    </w:p>
    <w:p w:rsidR="00E103AC" w:rsidRPr="003D5488" w:rsidRDefault="00E103AC" w:rsidP="00E103AC">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318.  Ayrıca, işlendiği iddia edilen suçlar, başvurucunun Sözleşme kapsamındaki haklarının kullanılmasına ilişkin olarak görülmemelidir (bkz. </w:t>
      </w:r>
      <w:r w:rsidRPr="003D5488">
        <w:rPr>
          <w:rFonts w:ascii="Times New Roman" w:eastAsia="Times New Roman" w:hAnsi="Times New Roman" w:cs="Times New Roman"/>
          <w:i/>
          <w:iCs/>
          <w:sz w:val="24"/>
          <w:szCs w:val="24"/>
          <w:lang w:eastAsia="tr-TR"/>
        </w:rPr>
        <w:t>Kavala</w:t>
      </w:r>
      <w:r w:rsidRPr="003D5488">
        <w:rPr>
          <w:rFonts w:ascii="Times New Roman" w:eastAsia="Times New Roman" w:hAnsi="Times New Roman" w:cs="Times New Roman"/>
          <w:sz w:val="24"/>
          <w:szCs w:val="24"/>
          <w:lang w:eastAsia="tr-TR"/>
        </w:rPr>
        <w:t>, yukarıda anılan, § 129).</w:t>
      </w:r>
    </w:p>
    <w:p w:rsidR="00E103AC" w:rsidRPr="003D5488" w:rsidRDefault="00E103AC" w:rsidP="00E103AC">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319. Mahkeme’nin istikrarlı bir şekilde ifade ettiği üzere, şüphenin “makul” olup olmadığı değerlendirilirken, </w:t>
      </w:r>
      <w:r w:rsidRPr="003D5488">
        <w:rPr>
          <w:rFonts w:ascii="Times New Roman" w:eastAsia="Times New Roman" w:hAnsi="Times New Roman" w:cs="Times New Roman"/>
          <w:sz w:val="24"/>
          <w:szCs w:val="24"/>
          <w:shd w:val="clear" w:color="auto" w:fill="FFFFFF"/>
          <w:lang w:eastAsia="tr-TR"/>
        </w:rPr>
        <w:t xml:space="preserve">Sözleşme’nin 5. maddesinin 1. fıkrasının c bendi tarafından sağlanan güvencenin esasının koruma altına alınıp alınmadığını değerlendirebilmesi gerekmektedir. Sonuç olarak, davalı Hükümet, yakalanmış kişi hakkında iddia edilen suçu işlediğine dair makul bir şüphenin bulunduğu hususunda Mahkeme’yi en azından tatmin edecek bazı olgu ve bilgileri sunmalıdır. </w:t>
      </w:r>
      <w:r w:rsidRPr="003D5488">
        <w:rPr>
          <w:rFonts w:ascii="Times New Roman" w:eastAsia="Times New Roman" w:hAnsi="Times New Roman" w:cs="Times New Roman"/>
          <w:sz w:val="24"/>
          <w:szCs w:val="24"/>
          <w:lang w:eastAsia="tr-TR"/>
        </w:rPr>
        <w:t>(bkz. </w:t>
      </w:r>
      <w:proofErr w:type="spellStart"/>
      <w:r w:rsidRPr="003D5488">
        <w:rPr>
          <w:rFonts w:ascii="Times New Roman" w:eastAsia="Times New Roman" w:hAnsi="Times New Roman" w:cs="Times New Roman"/>
          <w:i/>
          <w:iCs/>
          <w:sz w:val="24"/>
          <w:szCs w:val="24"/>
          <w:lang w:eastAsia="tr-TR"/>
        </w:rPr>
        <w:t>Fox</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Campbell</w:t>
      </w:r>
      <w:proofErr w:type="spellEnd"/>
      <w:r w:rsidRPr="003D5488">
        <w:rPr>
          <w:rFonts w:ascii="Times New Roman" w:eastAsia="Times New Roman" w:hAnsi="Times New Roman" w:cs="Times New Roman"/>
          <w:i/>
          <w:iCs/>
          <w:sz w:val="24"/>
          <w:szCs w:val="24"/>
          <w:lang w:eastAsia="tr-TR"/>
        </w:rPr>
        <w:t xml:space="preserve"> ve </w:t>
      </w:r>
      <w:proofErr w:type="spellStart"/>
      <w:r w:rsidRPr="003D5488">
        <w:rPr>
          <w:rFonts w:ascii="Times New Roman" w:eastAsia="Times New Roman" w:hAnsi="Times New Roman" w:cs="Times New Roman"/>
          <w:i/>
          <w:iCs/>
          <w:sz w:val="24"/>
          <w:szCs w:val="24"/>
          <w:lang w:eastAsia="tr-TR"/>
        </w:rPr>
        <w:t>Hartley</w:t>
      </w:r>
      <w:proofErr w:type="spellEnd"/>
      <w:r w:rsidRPr="003D5488">
        <w:rPr>
          <w:rFonts w:ascii="Times New Roman" w:eastAsia="Times New Roman" w:hAnsi="Times New Roman" w:cs="Times New Roman"/>
          <w:sz w:val="24"/>
          <w:szCs w:val="24"/>
          <w:lang w:eastAsia="tr-TR"/>
        </w:rPr>
        <w:t>, yukarıda anılan, § 34; </w:t>
      </w:r>
      <w:proofErr w:type="spellStart"/>
      <w:r w:rsidRPr="003D5488">
        <w:rPr>
          <w:rFonts w:ascii="Times New Roman" w:eastAsia="Times New Roman" w:hAnsi="Times New Roman" w:cs="Times New Roman"/>
          <w:i/>
          <w:iCs/>
          <w:sz w:val="24"/>
          <w:szCs w:val="24"/>
          <w:lang w:eastAsia="tr-TR"/>
        </w:rPr>
        <w:t>O’Hara</w:t>
      </w:r>
      <w:proofErr w:type="spellEnd"/>
      <w:r w:rsidRPr="003D5488">
        <w:rPr>
          <w:rFonts w:ascii="Times New Roman" w:eastAsia="Times New Roman" w:hAnsi="Times New Roman" w:cs="Times New Roman"/>
          <w:sz w:val="24"/>
          <w:szCs w:val="24"/>
          <w:lang w:eastAsia="tr-TR"/>
        </w:rPr>
        <w:t>, yukarıda anılan, § 35; </w:t>
      </w:r>
      <w:r w:rsidRPr="003D5488">
        <w:rPr>
          <w:rFonts w:ascii="Times New Roman" w:eastAsia="Times New Roman" w:hAnsi="Times New Roman" w:cs="Times New Roman"/>
          <w:i/>
          <w:iCs/>
          <w:sz w:val="24"/>
          <w:szCs w:val="24"/>
          <w:lang w:eastAsia="tr-TR"/>
        </w:rPr>
        <w:t xml:space="preserve">Ilgar </w:t>
      </w:r>
      <w:proofErr w:type="spellStart"/>
      <w:r w:rsidRPr="003D5488">
        <w:rPr>
          <w:rFonts w:ascii="Times New Roman" w:eastAsia="Times New Roman" w:hAnsi="Times New Roman" w:cs="Times New Roman"/>
          <w:i/>
          <w:iCs/>
          <w:sz w:val="24"/>
          <w:szCs w:val="24"/>
          <w:lang w:eastAsia="tr-TR"/>
        </w:rPr>
        <w:t>Mammadov</w:t>
      </w:r>
      <w:proofErr w:type="spellEnd"/>
      <w:r w:rsidRPr="003D5488">
        <w:rPr>
          <w:rFonts w:ascii="Times New Roman" w:eastAsia="Times New Roman" w:hAnsi="Times New Roman" w:cs="Times New Roman"/>
          <w:sz w:val="24"/>
          <w:szCs w:val="24"/>
          <w:lang w:eastAsia="tr-TR"/>
        </w:rPr>
        <w:t>, yukarıda anılan, § </w:t>
      </w:r>
      <w:proofErr w:type="gramStart"/>
      <w:r w:rsidRPr="003D5488">
        <w:rPr>
          <w:rFonts w:ascii="Times New Roman" w:eastAsia="Times New Roman" w:hAnsi="Times New Roman" w:cs="Times New Roman"/>
          <w:sz w:val="24"/>
          <w:szCs w:val="24"/>
          <w:lang w:eastAsia="tr-TR"/>
        </w:rPr>
        <w:t>89;</w:t>
      </w:r>
      <w:proofErr w:type="gramEnd"/>
      <w:r w:rsidRPr="003D5488">
        <w:rPr>
          <w:rFonts w:ascii="Times New Roman" w:eastAsia="Times New Roman" w:hAnsi="Times New Roman" w:cs="Times New Roman"/>
          <w:sz w:val="24"/>
          <w:szCs w:val="24"/>
          <w:lang w:eastAsia="tr-TR"/>
        </w:rPr>
        <w:t xml:space="preserve"> ve </w:t>
      </w:r>
      <w:r w:rsidRPr="003D5488">
        <w:rPr>
          <w:rFonts w:ascii="Times New Roman" w:eastAsia="Times New Roman" w:hAnsi="Times New Roman" w:cs="Times New Roman"/>
          <w:i/>
          <w:iCs/>
          <w:sz w:val="24"/>
          <w:szCs w:val="24"/>
          <w:lang w:eastAsia="tr-TR"/>
        </w:rPr>
        <w:t>Alparslan Altan</w:t>
      </w:r>
      <w:r w:rsidRPr="003D5488">
        <w:rPr>
          <w:rFonts w:ascii="Times New Roman" w:eastAsia="Times New Roman" w:hAnsi="Times New Roman" w:cs="Times New Roman"/>
          <w:sz w:val="24"/>
          <w:szCs w:val="24"/>
          <w:lang w:eastAsia="tr-TR"/>
        </w:rPr>
        <w:t>, yukarıda anılan, § 129).</w:t>
      </w:r>
    </w:p>
    <w:p w:rsidR="00E103AC" w:rsidRPr="003D5488" w:rsidRDefault="00E103AC" w:rsidP="00E103AC">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320. Yakalama ve ilk tutuklama anında bir kişiye yönelik şüphelerin "makul" olması gerektiği gibi ve tutukluluğun devamı durumlarında bu şüphelerin sürmesi ve "makul" kalması gerekmektedir. Ayrıca,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 ya da </w:t>
      </w:r>
      <w:r w:rsidRPr="003D5488">
        <w:rPr>
          <w:rFonts w:ascii="Times New Roman" w:eastAsia="Times New Roman" w:hAnsi="Times New Roman" w:cs="Times New Roman"/>
          <w:sz w:val="24"/>
          <w:szCs w:val="24"/>
          <w:lang w:eastAsia="tr-TR"/>
        </w:rPr>
        <w:lastRenderedPageBreak/>
        <w:t xml:space="preserve">adli yetkilinin tutuklama için ilgili ve yeterli gerekçeler sunma zorunluluğu, tutuklu kişinin bir suç işlediğine dair makul şüphenin sürmesine ek olarak, tutuklama kararının verildiği anda, yani yakalamadan hemen sonra geçerlidir (bakınız yukarıda anılan, </w:t>
      </w:r>
      <w:proofErr w:type="spellStart"/>
      <w:r w:rsidRPr="003D5488">
        <w:rPr>
          <w:rFonts w:ascii="Times New Roman" w:eastAsia="Times New Roman" w:hAnsi="Times New Roman" w:cs="Times New Roman"/>
          <w:sz w:val="24"/>
          <w:szCs w:val="24"/>
          <w:lang w:eastAsia="tr-TR"/>
        </w:rPr>
        <w:t>Buzadji</w:t>
      </w:r>
      <w:proofErr w:type="spellEnd"/>
      <w:r w:rsidRPr="003D5488">
        <w:rPr>
          <w:rFonts w:ascii="Times New Roman" w:eastAsia="Times New Roman" w:hAnsi="Times New Roman" w:cs="Times New Roman"/>
          <w:sz w:val="24"/>
          <w:szCs w:val="24"/>
          <w:lang w:eastAsia="tr-TR"/>
        </w:rPr>
        <w:t>, § 102 ve </w:t>
      </w:r>
      <w:r w:rsidRPr="003D5488">
        <w:rPr>
          <w:rFonts w:ascii="Times New Roman" w:eastAsia="Times New Roman" w:hAnsi="Times New Roman" w:cs="Times New Roman"/>
          <w:i/>
          <w:iCs/>
          <w:sz w:val="24"/>
          <w:szCs w:val="24"/>
          <w:lang w:eastAsia="tr-TR"/>
        </w:rPr>
        <w:t>Alparslan Altan</w:t>
      </w:r>
      <w:r w:rsidRPr="003D5488">
        <w:rPr>
          <w:rFonts w:ascii="Times New Roman" w:eastAsia="Times New Roman" w:hAnsi="Times New Roman" w:cs="Times New Roman"/>
          <w:sz w:val="24"/>
          <w:szCs w:val="24"/>
          <w:lang w:eastAsia="tr-TR"/>
        </w:rPr>
        <w:t>, yukarıda anılan, § 130).</w:t>
      </w:r>
    </w:p>
    <w:p w:rsidR="00E103AC" w:rsidRPr="003D5488" w:rsidRDefault="00E103AC" w:rsidP="00E103AC">
      <w:pPr>
        <w:shd w:val="clear" w:color="auto" w:fill="FFFFFF"/>
        <w:spacing w:after="0" w:line="240"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shd w:val="clear" w:color="auto" w:fill="FFFFFF"/>
          <w:lang w:eastAsia="tr-TR"/>
        </w:rPr>
        <w:t>321. Bir başvurucu hakkında belli bir isnada dair sonrasında elde edilen deliller, o kişi hakkında terör bağlantılı suçların işlenmiş olduğu şüphesini pekiştirecek bir illiyet bağı kurulmasına yol açabilir. Ancak bu durum, tutukluluk gerekçesi olan şüphe için tek dayanak olmamalıdır. Sonradan elden edilen deliller, her hâlükârda ulusal makamları bir kişinin tutukluluğu için yeterli olgusal dayanak sunma yükümlülüklerinden kurtarmamaktadır. Aksi takdirde, özgürlükten keyfi ve haksız şekilde yoksun bırakılmayı engelleyen Sözleşme’nin 5. maddesinin amacına aykırılık söz konusu olacaktır.</w:t>
      </w:r>
      <w:r w:rsidRPr="003D5488">
        <w:rPr>
          <w:rFonts w:ascii="Times New Roman" w:eastAsia="Times New Roman" w:hAnsi="Times New Roman" w:cs="Times New Roman"/>
          <w:sz w:val="24"/>
          <w:szCs w:val="24"/>
          <w:lang w:eastAsia="tr-TR"/>
        </w:rPr>
        <w:t xml:space="preserve"> (bakınız </w:t>
      </w:r>
      <w:r w:rsidRPr="003D5488">
        <w:rPr>
          <w:rFonts w:ascii="Times New Roman" w:eastAsia="Times New Roman" w:hAnsi="Times New Roman" w:cs="Times New Roman"/>
          <w:i/>
          <w:iCs/>
          <w:sz w:val="24"/>
          <w:szCs w:val="24"/>
          <w:lang w:eastAsia="tr-TR"/>
        </w:rPr>
        <w:t>Alparslan Altan</w:t>
      </w:r>
      <w:r w:rsidRPr="003D5488">
        <w:rPr>
          <w:rFonts w:ascii="Times New Roman" w:eastAsia="Times New Roman" w:hAnsi="Times New Roman" w:cs="Times New Roman"/>
          <w:sz w:val="24"/>
          <w:szCs w:val="24"/>
          <w:lang w:eastAsia="tr-TR"/>
        </w:rPr>
        <w:t>, yukarıda anılan, § 139).</w:t>
      </w:r>
    </w:p>
    <w:p w:rsidR="00E103AC" w:rsidRPr="003D5488" w:rsidRDefault="00E103AC" w:rsidP="00E103AC">
      <w:pPr>
        <w:shd w:val="clear" w:color="auto" w:fill="FFFFFF"/>
        <w:spacing w:after="0" w:line="240" w:lineRule="auto"/>
        <w:jc w:val="both"/>
        <w:rPr>
          <w:rFonts w:ascii="Times New Roman" w:eastAsia="Times New Roman" w:hAnsi="Times New Roman" w:cs="Times New Roman"/>
          <w:sz w:val="24"/>
          <w:szCs w:val="24"/>
          <w:lang w:eastAsia="tr-TR"/>
        </w:rPr>
      </w:pPr>
    </w:p>
    <w:p w:rsidR="00E103AC" w:rsidRPr="003D5488" w:rsidRDefault="00E103AC" w:rsidP="00274EE3">
      <w:pPr>
        <w:pStyle w:val="Balk4"/>
      </w:pPr>
      <w:r w:rsidRPr="003D5488">
        <w:t>Yukarıda anılan ilkelerin mevcut davaya uygulanması</w:t>
      </w:r>
    </w:p>
    <w:p w:rsidR="00E103AC" w:rsidRPr="003D5488" w:rsidRDefault="00E103AC" w:rsidP="00E103AC">
      <w:pPr>
        <w:shd w:val="clear" w:color="auto" w:fill="FFFFFF"/>
        <w:spacing w:after="0" w:line="240" w:lineRule="auto"/>
        <w:jc w:val="both"/>
        <w:rPr>
          <w:rFonts w:ascii="Times New Roman" w:eastAsia="Times New Roman" w:hAnsi="Times New Roman" w:cs="Times New Roman"/>
          <w:sz w:val="24"/>
          <w:szCs w:val="24"/>
          <w:lang w:eastAsia="tr-TR"/>
        </w:rPr>
      </w:pPr>
    </w:p>
    <w:p w:rsidR="00427551" w:rsidRDefault="00E103AC" w:rsidP="00E103AC">
      <w:pPr>
        <w:shd w:val="clear" w:color="auto" w:fill="FFFFFF"/>
        <w:spacing w:after="0" w:line="240"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shd w:val="clear" w:color="auto" w:fill="FFFFFF"/>
          <w:lang w:eastAsia="tr-TR"/>
        </w:rPr>
        <w:t xml:space="preserve">322. Mahkeme, bir başvurucunun suç işlediğine dair makul şüphenin olmadığı ile ilgili </w:t>
      </w:r>
      <w:r w:rsidR="007E3DD1" w:rsidRPr="003D5488">
        <w:rPr>
          <w:rFonts w:ascii="Times New Roman" w:eastAsia="Times New Roman" w:hAnsi="Times New Roman" w:cs="Times New Roman"/>
          <w:sz w:val="24"/>
          <w:szCs w:val="24"/>
          <w:shd w:val="clear" w:color="auto" w:fill="FFFFFF"/>
          <w:lang w:eastAsia="tr-TR"/>
        </w:rPr>
        <w:t>şikâyet</w:t>
      </w:r>
      <w:r w:rsidRPr="003D5488">
        <w:rPr>
          <w:rFonts w:ascii="Times New Roman" w:eastAsia="Times New Roman" w:hAnsi="Times New Roman" w:cs="Times New Roman"/>
          <w:sz w:val="24"/>
          <w:szCs w:val="24"/>
          <w:shd w:val="clear" w:color="auto" w:fill="FFFFFF"/>
          <w:lang w:eastAsia="tr-TR"/>
        </w:rPr>
        <w:t xml:space="preserve">leri incelerken, başvurucu hakkında ilk tutuklama kararı verilirken “makul” bir şüphenin mevcut olduğu konusunda nesnel bir bilginin bulunup bulunmadığına dair tespitte bulunabilmek için ilgili tüm koşulları dikkate almalıdır. </w:t>
      </w:r>
      <w:r w:rsidRPr="003D5488">
        <w:rPr>
          <w:rFonts w:ascii="Times New Roman" w:eastAsia="Times New Roman" w:hAnsi="Times New Roman" w:cs="Times New Roman"/>
          <w:sz w:val="24"/>
          <w:szCs w:val="24"/>
          <w:lang w:eastAsia="tr-TR"/>
        </w:rPr>
        <w:t>(</w:t>
      </w:r>
      <w:proofErr w:type="spellStart"/>
      <w:r w:rsidRPr="003D5488">
        <w:rPr>
          <w:rFonts w:ascii="Times New Roman" w:eastAsia="Times New Roman" w:hAnsi="Times New Roman" w:cs="Times New Roman"/>
          <w:sz w:val="24"/>
          <w:szCs w:val="24"/>
          <w:lang w:eastAsia="tr-TR"/>
        </w:rPr>
        <w:t>ibid</w:t>
      </w:r>
      <w:proofErr w:type="spellEnd"/>
      <w:proofErr w:type="gramStart"/>
      <w:r w:rsidRPr="003D5488">
        <w:rPr>
          <w:rFonts w:ascii="Times New Roman" w:eastAsia="Times New Roman" w:hAnsi="Times New Roman" w:cs="Times New Roman"/>
          <w:sz w:val="24"/>
          <w:szCs w:val="24"/>
          <w:lang w:eastAsia="tr-TR"/>
        </w:rPr>
        <w:t>.,</w:t>
      </w:r>
      <w:proofErr w:type="gramEnd"/>
      <w:r w:rsidRPr="003D5488">
        <w:rPr>
          <w:rFonts w:ascii="Times New Roman" w:eastAsia="Times New Roman" w:hAnsi="Times New Roman" w:cs="Times New Roman"/>
          <w:sz w:val="24"/>
          <w:szCs w:val="24"/>
          <w:lang w:eastAsia="tr-TR"/>
        </w:rPr>
        <w:t xml:space="preserve"> § 133).</w:t>
      </w:r>
    </w:p>
    <w:p w:rsidR="00E103AC" w:rsidRPr="00427551" w:rsidRDefault="00427551" w:rsidP="00E103AC">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323. </w:t>
      </w:r>
      <w:r w:rsidR="00894AC8">
        <w:rPr>
          <w:rFonts w:ascii="Times New Roman" w:eastAsia="Times New Roman" w:hAnsi="Times New Roman" w:cs="Times New Roman"/>
          <w:sz w:val="24"/>
          <w:szCs w:val="24"/>
          <w:lang w:eastAsia="tr-TR"/>
        </w:rPr>
        <w:t>Mahkeme’nin</w:t>
      </w:r>
      <w:r w:rsidR="00E103AC" w:rsidRPr="003D5488">
        <w:rPr>
          <w:rFonts w:ascii="Times New Roman" w:eastAsia="Times New Roman" w:hAnsi="Times New Roman" w:cs="Times New Roman"/>
          <w:sz w:val="24"/>
          <w:szCs w:val="24"/>
          <w:lang w:eastAsia="tr-TR"/>
        </w:rPr>
        <w:t xml:space="preserve"> </w:t>
      </w:r>
      <w:r w:rsidR="00C17185" w:rsidRPr="003D5488">
        <w:rPr>
          <w:rFonts w:ascii="Times New Roman" w:eastAsia="Times New Roman" w:hAnsi="Times New Roman" w:cs="Times New Roman"/>
          <w:sz w:val="24"/>
          <w:szCs w:val="24"/>
          <w:lang w:eastAsia="tr-TR"/>
        </w:rPr>
        <w:t>hâlihazırda</w:t>
      </w:r>
      <w:r w:rsidR="00E103AC" w:rsidRPr="003D5488">
        <w:rPr>
          <w:rFonts w:ascii="Times New Roman" w:eastAsia="Times New Roman" w:hAnsi="Times New Roman" w:cs="Times New Roman"/>
          <w:sz w:val="24"/>
          <w:szCs w:val="24"/>
          <w:lang w:eastAsia="tr-TR"/>
        </w:rPr>
        <w:t xml:space="preserve"> </w:t>
      </w:r>
      <w:proofErr w:type="spellStart"/>
      <w:r w:rsidR="00E103AC" w:rsidRPr="003D5488">
        <w:rPr>
          <w:rFonts w:ascii="Times New Roman" w:eastAsia="Times New Roman" w:hAnsi="Times New Roman" w:cs="Times New Roman"/>
          <w:i/>
          <w:iCs/>
          <w:sz w:val="24"/>
          <w:szCs w:val="24"/>
          <w:lang w:eastAsia="tr-TR"/>
        </w:rPr>
        <w:t>Fox</w:t>
      </w:r>
      <w:proofErr w:type="spellEnd"/>
      <w:r w:rsidR="00E103AC" w:rsidRPr="003D5488">
        <w:rPr>
          <w:rFonts w:ascii="Times New Roman" w:eastAsia="Times New Roman" w:hAnsi="Times New Roman" w:cs="Times New Roman"/>
          <w:i/>
          <w:iCs/>
          <w:sz w:val="24"/>
          <w:szCs w:val="24"/>
          <w:lang w:eastAsia="tr-TR"/>
        </w:rPr>
        <w:t xml:space="preserve">, </w:t>
      </w:r>
      <w:proofErr w:type="spellStart"/>
      <w:r w:rsidR="00E103AC" w:rsidRPr="003D5488">
        <w:rPr>
          <w:rFonts w:ascii="Times New Roman" w:eastAsia="Times New Roman" w:hAnsi="Times New Roman" w:cs="Times New Roman"/>
          <w:i/>
          <w:iCs/>
          <w:sz w:val="24"/>
          <w:szCs w:val="24"/>
          <w:lang w:eastAsia="tr-TR"/>
        </w:rPr>
        <w:t>Campbell</w:t>
      </w:r>
      <w:proofErr w:type="spellEnd"/>
      <w:r w:rsidR="00E103AC" w:rsidRPr="003D5488">
        <w:rPr>
          <w:rFonts w:ascii="Times New Roman" w:eastAsia="Times New Roman" w:hAnsi="Times New Roman" w:cs="Times New Roman"/>
          <w:i/>
          <w:iCs/>
          <w:sz w:val="24"/>
          <w:szCs w:val="24"/>
          <w:lang w:eastAsia="tr-TR"/>
        </w:rPr>
        <w:t xml:space="preserve"> ve </w:t>
      </w:r>
      <w:proofErr w:type="spellStart"/>
      <w:r w:rsidR="00E103AC" w:rsidRPr="003D5488">
        <w:rPr>
          <w:rFonts w:ascii="Times New Roman" w:eastAsia="Times New Roman" w:hAnsi="Times New Roman" w:cs="Times New Roman"/>
          <w:i/>
          <w:iCs/>
          <w:sz w:val="24"/>
          <w:szCs w:val="24"/>
          <w:lang w:eastAsia="tr-TR"/>
        </w:rPr>
        <w:t>Hartley</w:t>
      </w:r>
      <w:proofErr w:type="spellEnd"/>
      <w:r w:rsidR="00E103AC" w:rsidRPr="003D5488">
        <w:rPr>
          <w:rFonts w:ascii="Times New Roman" w:eastAsia="Times New Roman" w:hAnsi="Times New Roman" w:cs="Times New Roman"/>
          <w:i/>
          <w:iCs/>
          <w:sz w:val="24"/>
          <w:szCs w:val="24"/>
          <w:lang w:eastAsia="tr-TR"/>
        </w:rPr>
        <w:t> </w:t>
      </w:r>
      <w:r w:rsidR="00E103AC" w:rsidRPr="003D5488">
        <w:rPr>
          <w:rFonts w:ascii="Times New Roman" w:eastAsia="Times New Roman" w:hAnsi="Times New Roman" w:cs="Times New Roman"/>
          <w:sz w:val="24"/>
          <w:szCs w:val="24"/>
          <w:lang w:eastAsia="tr-TR"/>
        </w:rPr>
        <w:t>kararında (yukarıda anı</w:t>
      </w:r>
      <w:r w:rsidR="000542AC">
        <w:rPr>
          <w:rFonts w:ascii="Times New Roman" w:eastAsia="Times New Roman" w:hAnsi="Times New Roman" w:cs="Times New Roman"/>
          <w:sz w:val="24"/>
          <w:szCs w:val="24"/>
          <w:lang w:eastAsia="tr-TR"/>
        </w:rPr>
        <w:t>lan, § 32) tespit ettiği üzere, terörle bağlantılı ceza</w:t>
      </w:r>
      <w:r w:rsidR="00E103AC" w:rsidRPr="003D5488">
        <w:rPr>
          <w:rFonts w:ascii="Times New Roman" w:eastAsia="Times New Roman" w:hAnsi="Times New Roman" w:cs="Times New Roman"/>
          <w:sz w:val="24"/>
          <w:szCs w:val="24"/>
          <w:lang w:eastAsia="tr-TR"/>
        </w:rPr>
        <w:t xml:space="preserve"> </w:t>
      </w:r>
      <w:r w:rsidR="00E103AC" w:rsidRPr="00894AC8">
        <w:rPr>
          <w:rFonts w:ascii="Times New Roman" w:eastAsia="Times New Roman" w:hAnsi="Times New Roman" w:cs="Times New Roman"/>
          <w:sz w:val="24"/>
          <w:szCs w:val="24"/>
          <w:lang w:eastAsia="tr-TR"/>
        </w:rPr>
        <w:t xml:space="preserve">soruşturmalarının doğası gereği, </w:t>
      </w:r>
      <w:r w:rsidR="000542AC" w:rsidRPr="00894AC8">
        <w:rPr>
          <w:rFonts w:ascii="Times New Roman" w:eastAsia="Times New Roman" w:hAnsi="Times New Roman" w:cs="Times New Roman"/>
          <w:sz w:val="24"/>
          <w:szCs w:val="24"/>
          <w:lang w:eastAsia="tr-TR"/>
        </w:rPr>
        <w:t>özgürlükten mahrum bırakılmak</w:t>
      </w:r>
      <w:r w:rsidR="00E103AC" w:rsidRPr="00894AC8">
        <w:rPr>
          <w:rFonts w:ascii="Times New Roman" w:eastAsia="Times New Roman" w:hAnsi="Times New Roman" w:cs="Times New Roman"/>
          <w:sz w:val="24"/>
          <w:szCs w:val="24"/>
          <w:lang w:eastAsia="tr-TR"/>
        </w:rPr>
        <w:t xml:space="preserve"> için gerekli olan şüphenin “makullük”</w:t>
      </w:r>
      <w:r w:rsidR="000542AC" w:rsidRPr="00894AC8">
        <w:rPr>
          <w:rFonts w:ascii="Times New Roman" w:eastAsia="Times New Roman" w:hAnsi="Times New Roman" w:cs="Times New Roman"/>
          <w:sz w:val="24"/>
          <w:szCs w:val="24"/>
          <w:lang w:eastAsia="tr-TR"/>
        </w:rPr>
        <w:t xml:space="preserve"> seviyesi </w:t>
      </w:r>
      <w:r w:rsidR="00E103AC" w:rsidRPr="00894AC8">
        <w:rPr>
          <w:rFonts w:ascii="Times New Roman" w:eastAsia="Times New Roman" w:hAnsi="Times New Roman" w:cs="Times New Roman"/>
          <w:sz w:val="24"/>
          <w:szCs w:val="24"/>
          <w:lang w:eastAsia="tr-TR"/>
        </w:rPr>
        <w:t xml:space="preserve">ile </w:t>
      </w:r>
      <w:r w:rsidR="00894AC8" w:rsidRPr="00894AC8">
        <w:rPr>
          <w:rFonts w:ascii="Times New Roman" w:eastAsia="Times New Roman" w:hAnsi="Times New Roman" w:cs="Times New Roman"/>
          <w:sz w:val="24"/>
          <w:szCs w:val="24"/>
          <w:lang w:eastAsia="tr-TR"/>
        </w:rPr>
        <w:t>olağan</w:t>
      </w:r>
      <w:r w:rsidR="00E103AC" w:rsidRPr="00894AC8">
        <w:rPr>
          <w:rFonts w:ascii="Times New Roman" w:eastAsia="Times New Roman" w:hAnsi="Times New Roman" w:cs="Times New Roman"/>
          <w:sz w:val="24"/>
          <w:szCs w:val="24"/>
          <w:lang w:eastAsia="tr-TR"/>
        </w:rPr>
        <w:t xml:space="preserve"> suçlar için ara</w:t>
      </w:r>
      <w:r w:rsidR="00894AC8" w:rsidRPr="00894AC8">
        <w:rPr>
          <w:rFonts w:ascii="Times New Roman" w:eastAsia="Times New Roman" w:hAnsi="Times New Roman" w:cs="Times New Roman"/>
          <w:sz w:val="24"/>
          <w:szCs w:val="24"/>
          <w:lang w:eastAsia="tr-TR"/>
        </w:rPr>
        <w:t>nan ve uygulanan standartlar aynı şekilde</w:t>
      </w:r>
      <w:r w:rsidR="00E103AC" w:rsidRPr="00894AC8">
        <w:rPr>
          <w:rFonts w:ascii="Times New Roman" w:eastAsia="Times New Roman" w:hAnsi="Times New Roman" w:cs="Times New Roman"/>
          <w:sz w:val="24"/>
          <w:szCs w:val="24"/>
          <w:lang w:eastAsia="tr-TR"/>
        </w:rPr>
        <w:t xml:space="preserve"> değerlendirilmemelidir.</w:t>
      </w:r>
      <w:r w:rsidR="00E103AC" w:rsidRPr="003D5488">
        <w:rPr>
          <w:rFonts w:ascii="Times New Roman" w:eastAsia="Times New Roman" w:hAnsi="Times New Roman" w:cs="Times New Roman"/>
          <w:sz w:val="24"/>
          <w:szCs w:val="24"/>
          <w:lang w:eastAsia="tr-TR"/>
        </w:rPr>
        <w:t xml:space="preserve"> Ancak Mahkeme’ye göre, terör suçları ile mücadelenin gerekliliği, </w:t>
      </w:r>
      <w:r w:rsidR="00E103AC" w:rsidRPr="003D5488">
        <w:rPr>
          <w:rFonts w:ascii="Times New Roman" w:eastAsia="Times New Roman" w:hAnsi="Times New Roman" w:cs="Times New Roman"/>
          <w:sz w:val="24"/>
          <w:szCs w:val="24"/>
          <w:shd w:val="clear" w:color="auto" w:fill="FFFFFF"/>
          <w:lang w:eastAsia="tr-TR"/>
        </w:rPr>
        <w:t xml:space="preserve">Sözleşme’nin 5. maddesinin 1. fıkrasının c bendi tarafından sağlanan güvencenin özüne zarar verecek şekilde “makullük” kavramını esnetmeyi haklı kılamamaktadır </w:t>
      </w:r>
      <w:r w:rsidR="00E103AC" w:rsidRPr="003D5488">
        <w:rPr>
          <w:rFonts w:ascii="Times New Roman" w:eastAsia="Times New Roman" w:hAnsi="Times New Roman" w:cs="Times New Roman"/>
          <w:sz w:val="24"/>
          <w:szCs w:val="24"/>
          <w:lang w:eastAsia="tr-TR"/>
        </w:rPr>
        <w:t>(</w:t>
      </w:r>
      <w:proofErr w:type="spellStart"/>
      <w:r w:rsidR="00E103AC" w:rsidRPr="003D5488">
        <w:rPr>
          <w:rFonts w:ascii="Times New Roman" w:eastAsia="Times New Roman" w:hAnsi="Times New Roman" w:cs="Times New Roman"/>
          <w:sz w:val="24"/>
          <w:szCs w:val="24"/>
          <w:lang w:eastAsia="tr-TR"/>
        </w:rPr>
        <w:t>ibid</w:t>
      </w:r>
      <w:proofErr w:type="spellEnd"/>
      <w:proofErr w:type="gramStart"/>
      <w:r w:rsidR="00E103AC" w:rsidRPr="003D5488">
        <w:rPr>
          <w:rFonts w:ascii="Times New Roman" w:eastAsia="Times New Roman" w:hAnsi="Times New Roman" w:cs="Times New Roman"/>
          <w:sz w:val="24"/>
          <w:szCs w:val="24"/>
          <w:lang w:eastAsia="tr-TR"/>
        </w:rPr>
        <w:t>.,</w:t>
      </w:r>
      <w:proofErr w:type="gramEnd"/>
      <w:r w:rsidR="00E103AC" w:rsidRPr="003D5488">
        <w:rPr>
          <w:rFonts w:ascii="Times New Roman" w:eastAsia="Times New Roman" w:hAnsi="Times New Roman" w:cs="Times New Roman"/>
          <w:sz w:val="24"/>
          <w:szCs w:val="24"/>
          <w:lang w:eastAsia="tr-TR"/>
        </w:rPr>
        <w:t xml:space="preserve"> § 32). Bu nedenle, mevcut davada Mahkeme’nin görevi, başvurucunun soruşturma makamları tarafından ilk tutukluluğu sırasında isnat edilen suçları işlemiş olabileceği konusunda tarafsız bir gözlemciyi ikna etmek için yeterli unsurların olup olmadığını tespit etmektir (bakınız, yukarıda 271 paragraf). Bunu yaparken, ihtilaf konusu tedbirin verildiği tarihte tedbir kararını veren makamların incelemesinde olan bilgi ve olguların söz konusu tedbiri haklı kılmaya yeterli olup olmadığını değerlendirecektir.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324. 4 Kasım 2016 tarihinde Diyarbakır Cumhuriyet Savcılığı, başvurucunun örgüt üyeliği ve halkı suç işlemeye tahrik suçlarından tutuklanması talebi ile başvurucuyu Diyarbakır 2. Sulh Ceza </w:t>
      </w:r>
      <w:proofErr w:type="spellStart"/>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liği’ne</w:t>
      </w:r>
      <w:proofErr w:type="spellEnd"/>
      <w:r w:rsidRPr="003D5488">
        <w:rPr>
          <w:rFonts w:ascii="Times New Roman" w:eastAsia="Times New Roman" w:hAnsi="Times New Roman" w:cs="Times New Roman"/>
          <w:sz w:val="24"/>
          <w:szCs w:val="24"/>
          <w:lang w:eastAsia="tr-TR"/>
        </w:rPr>
        <w:t xml:space="preserve"> sevk etmiş, başvurucu aynı gün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tarafından tutuklanmıştır.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bu kararı verirken öncelikle, ilgili suçlar açısından başvurucunun </w:t>
      </w:r>
      <w:r w:rsidRPr="003D5488">
        <w:rPr>
          <w:rFonts w:ascii="Times New Roman" w:eastAsia="Times New Roman" w:hAnsi="Times New Roman" w:cs="Times New Roman"/>
          <w:sz w:val="24"/>
          <w:szCs w:val="24"/>
          <w:lang w:eastAsia="tr-TR"/>
        </w:rPr>
        <w:lastRenderedPageBreak/>
        <w:t xml:space="preserve">dokunulmazlığının yapılan Anayasa değişikliği ile kaldırıldığına bakmıştır. Ardından, 2014 yılının Ekim ayında Suriye’de IŞİD ve PYD arasında şiddetlenen çatışmalar sırasında, PKK liderlerinin halkın sokağa çıkması için birtakım çağrılar yaptığına bakmıştır. Devamında ise, başvurucunun da üyesi ve eş genel başkanı olduğu HDP Merkez Yürütme Kurulu tarafından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Twitter</w:t>
      </w:r>
      <w:proofErr w:type="spellEnd"/>
      <w:r w:rsidRPr="003D5488">
        <w:rPr>
          <w:rFonts w:ascii="Times New Roman" w:eastAsia="Times New Roman" w:hAnsi="Times New Roman" w:cs="Times New Roman"/>
          <w:sz w:val="24"/>
          <w:szCs w:val="24"/>
          <w:lang w:eastAsia="tr-TR"/>
        </w:rPr>
        <w:t xml:space="preserve"> hesabından nerdeyse eş zamanlı olarak insanların sokağa çıkması çağrılarını içeren 3 adet </w:t>
      </w:r>
      <w:proofErr w:type="spellStart"/>
      <w:r w:rsidRPr="003D5488">
        <w:rPr>
          <w:rFonts w:ascii="Times New Roman" w:eastAsia="Times New Roman" w:hAnsi="Times New Roman" w:cs="Times New Roman"/>
          <w:sz w:val="24"/>
          <w:szCs w:val="24"/>
          <w:lang w:eastAsia="tr-TR"/>
        </w:rPr>
        <w:t>tweet</w:t>
      </w:r>
      <w:proofErr w:type="spellEnd"/>
      <w:r w:rsidRPr="003D5488">
        <w:rPr>
          <w:rFonts w:ascii="Times New Roman" w:eastAsia="Times New Roman" w:hAnsi="Times New Roman" w:cs="Times New Roman"/>
          <w:sz w:val="24"/>
          <w:szCs w:val="24"/>
          <w:lang w:eastAsia="tr-TR"/>
        </w:rPr>
        <w:t xml:space="preserve"> atıldığını eklemiştir.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sonrasında, 6-8 Ekim olayları sırasında PKK destekçileri tarafından birçok suç işlendiğini, bunlar arasında bilhassa 50 kişinin ölümü, 678 kişinin yaralanması ve 1,113 binaya zarar verilmesi olduğunu da eklemiştir.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w:t>
      </w:r>
      <w:proofErr w:type="spellStart"/>
      <w:r w:rsidRPr="003D5488">
        <w:rPr>
          <w:rFonts w:ascii="Times New Roman" w:eastAsia="Times New Roman" w:hAnsi="Times New Roman" w:cs="Times New Roman"/>
          <w:sz w:val="24"/>
          <w:szCs w:val="24"/>
          <w:lang w:eastAsia="tr-TR"/>
        </w:rPr>
        <w:t>HDP’nin</w:t>
      </w:r>
      <w:proofErr w:type="spellEnd"/>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Twitter</w:t>
      </w:r>
      <w:proofErr w:type="spellEnd"/>
      <w:r w:rsidRPr="003D5488">
        <w:rPr>
          <w:rFonts w:ascii="Times New Roman" w:eastAsia="Times New Roman" w:hAnsi="Times New Roman" w:cs="Times New Roman"/>
          <w:sz w:val="24"/>
          <w:szCs w:val="24"/>
          <w:lang w:eastAsia="tr-TR"/>
        </w:rPr>
        <w:t xml:space="preserve"> hesabından atılan </w:t>
      </w:r>
      <w:proofErr w:type="spellStart"/>
      <w:r w:rsidRPr="003D5488">
        <w:rPr>
          <w:rFonts w:ascii="Times New Roman" w:eastAsia="Times New Roman" w:hAnsi="Times New Roman" w:cs="Times New Roman"/>
          <w:sz w:val="24"/>
          <w:szCs w:val="24"/>
          <w:lang w:eastAsia="tr-TR"/>
        </w:rPr>
        <w:t>tweetlerin</w:t>
      </w:r>
      <w:proofErr w:type="spellEnd"/>
      <w:r w:rsidRPr="003D5488">
        <w:rPr>
          <w:rFonts w:ascii="Times New Roman" w:eastAsia="Times New Roman" w:hAnsi="Times New Roman" w:cs="Times New Roman"/>
          <w:sz w:val="24"/>
          <w:szCs w:val="24"/>
          <w:lang w:eastAsia="tr-TR"/>
        </w:rPr>
        <w:t xml:space="preserve">, başvurucunun partideki görevinin icrası kapsamında, halkı suç işlemeye tahrik ettiğine dair kuvvetli suç şüphesini oluşturduğuna kanaat getirmiştir.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ayrıca, sokaklarda hendek kazma, barikat kurma gibi PKK üyeleri tarafından işlenen bazı eylemlerin başvurucu tarafından “direniş” olarak ifade edildiğini ve Demokratik Toplum Kongresi faaliyetlerine katıldığını ifade etmiştir. Başvurucu hakkında savcılıklar tarafından içlerinde terör bağlantılı olanların da olduğu birçok soruşturmanın bulunduğu da eklenmiştir. </w:t>
      </w:r>
      <w:proofErr w:type="spellStart"/>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lik’e</w:t>
      </w:r>
      <w:proofErr w:type="spellEnd"/>
      <w:r w:rsidRPr="003D5488">
        <w:rPr>
          <w:rFonts w:ascii="Times New Roman" w:eastAsia="Times New Roman" w:hAnsi="Times New Roman" w:cs="Times New Roman"/>
          <w:sz w:val="24"/>
          <w:szCs w:val="24"/>
          <w:lang w:eastAsia="tr-TR"/>
        </w:rPr>
        <w:t xml:space="preserve"> göre, bu olgular başvurucunun örgüt üyesi olarak suç işlemiş olabileceğine dair kuvvetli suç şüphesini göstermek için yeterlidir.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lik, ayrıca -başvurucunun sorgulanmadığı- örgüt kurma ve yönetme suçlarının Ceza Muhakemesi Kanunu’nun 100. maddesinin 3. fıkrası kapsamında katalog suçlar arasında sayıldığını kaydetmiştir. Son olarak, davanın önemi ve suçun kanuni tanımı ve ağırlığı dikkate alındığında, adli kontrol tedbirlerinin yetersiz kalacağına ve tutuklamanın gerekli olduğuna kanaat getirmiştir. </w:t>
      </w:r>
    </w:p>
    <w:p w:rsidR="00E103AC" w:rsidRPr="003D5488" w:rsidRDefault="00E103AC" w:rsidP="00E103AC">
      <w:pPr>
        <w:autoSpaceDE w:val="0"/>
        <w:autoSpaceDN w:val="0"/>
        <w:adjustRightInd w:val="0"/>
        <w:spacing w:after="0"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325. Anayasa Mahkemesi, başvurucunun tutukluluğunun hukukiliğini incelerken, 6-8 Ekim olaylarını ana hatları ile belirttikten sonra, HDP Merkez Yürütme Kurulu’nun çağrısı ile meydana gelen şiddet olayları arasında illiyet bağı kurmuştur. Anayasa Mahkemesi devamla, “hendek olaylarına” ilişkin olarak, başvurucunun siyasi konumunu, söz konusu </w:t>
      </w:r>
      <w:r w:rsidRPr="003D5488">
        <w:rPr>
          <w:rFonts w:ascii="Times New Roman" w:eastAsia="HiddenHorzOCR" w:hAnsi="Times New Roman" w:cs="Times New Roman"/>
          <w:sz w:val="24"/>
          <w:szCs w:val="24"/>
        </w:rPr>
        <w:t xml:space="preserve">konuşmaların yapıldığı </w:t>
      </w:r>
      <w:r w:rsidRPr="003D5488">
        <w:rPr>
          <w:rFonts w:ascii="Times New Roman" w:hAnsi="Times New Roman" w:cs="Times New Roman"/>
          <w:sz w:val="24"/>
          <w:szCs w:val="24"/>
        </w:rPr>
        <w:t xml:space="preserve">dönemi ve yerleri, </w:t>
      </w:r>
      <w:r w:rsidRPr="003D5488">
        <w:rPr>
          <w:rFonts w:ascii="Times New Roman" w:eastAsia="HiddenHorzOCR" w:hAnsi="Times New Roman" w:cs="Times New Roman"/>
          <w:sz w:val="24"/>
          <w:szCs w:val="24"/>
        </w:rPr>
        <w:t xml:space="preserve">konuşmaların içeriğini </w:t>
      </w:r>
      <w:r w:rsidRPr="003D5488">
        <w:rPr>
          <w:rFonts w:ascii="Times New Roman" w:hAnsi="Times New Roman" w:cs="Times New Roman"/>
          <w:sz w:val="24"/>
          <w:szCs w:val="24"/>
        </w:rPr>
        <w:t xml:space="preserve">ve </w:t>
      </w:r>
      <w:r w:rsidRPr="003D5488">
        <w:rPr>
          <w:rFonts w:ascii="Times New Roman" w:eastAsia="HiddenHorzOCR" w:hAnsi="Times New Roman" w:cs="Times New Roman"/>
          <w:sz w:val="24"/>
          <w:szCs w:val="24"/>
        </w:rPr>
        <w:t xml:space="preserve">bağlamını </w:t>
      </w:r>
      <w:r w:rsidRPr="003D5488">
        <w:rPr>
          <w:rFonts w:ascii="Times New Roman" w:hAnsi="Times New Roman" w:cs="Times New Roman"/>
          <w:sz w:val="24"/>
          <w:szCs w:val="24"/>
        </w:rPr>
        <w:t xml:space="preserve">birlikte dikkate </w:t>
      </w:r>
      <w:r w:rsidRPr="003D5488">
        <w:rPr>
          <w:rFonts w:ascii="Times New Roman" w:eastAsia="HiddenHorzOCR" w:hAnsi="Times New Roman" w:cs="Times New Roman"/>
          <w:sz w:val="24"/>
          <w:szCs w:val="24"/>
        </w:rPr>
        <w:t xml:space="preserve">alarak başvurucunun </w:t>
      </w:r>
      <w:r w:rsidRPr="003D5488">
        <w:rPr>
          <w:rFonts w:ascii="Times New Roman" w:hAnsi="Times New Roman" w:cs="Times New Roman"/>
          <w:sz w:val="24"/>
          <w:szCs w:val="24"/>
        </w:rPr>
        <w:t xml:space="preserve">terörle </w:t>
      </w:r>
      <w:r w:rsidRPr="003D5488">
        <w:rPr>
          <w:rFonts w:ascii="Times New Roman" w:eastAsia="HiddenHorzOCR" w:hAnsi="Times New Roman" w:cs="Times New Roman"/>
          <w:sz w:val="24"/>
          <w:szCs w:val="24"/>
        </w:rPr>
        <w:t xml:space="preserve">bağlantılı </w:t>
      </w:r>
      <w:r w:rsidRPr="003D5488">
        <w:rPr>
          <w:rFonts w:ascii="Times New Roman" w:hAnsi="Times New Roman" w:cs="Times New Roman"/>
          <w:sz w:val="24"/>
          <w:szCs w:val="24"/>
        </w:rPr>
        <w:t xml:space="preserve">bir suç </w:t>
      </w:r>
      <w:r w:rsidRPr="003D5488">
        <w:rPr>
          <w:rFonts w:ascii="Times New Roman" w:eastAsia="HiddenHorzOCR" w:hAnsi="Times New Roman" w:cs="Times New Roman"/>
          <w:sz w:val="24"/>
          <w:szCs w:val="24"/>
        </w:rPr>
        <w:t xml:space="preserve">işlendiğine </w:t>
      </w:r>
      <w:r w:rsidRPr="003D5488">
        <w:rPr>
          <w:rFonts w:ascii="Times New Roman" w:hAnsi="Times New Roman" w:cs="Times New Roman"/>
          <w:sz w:val="24"/>
          <w:szCs w:val="24"/>
        </w:rPr>
        <w:t xml:space="preserve">dair belirti olarak kabul edilmesinin temelsiz </w:t>
      </w:r>
      <w:r w:rsidRPr="003D5488">
        <w:rPr>
          <w:rFonts w:ascii="Times New Roman" w:eastAsia="HiddenHorzOCR" w:hAnsi="Times New Roman" w:cs="Times New Roman"/>
          <w:sz w:val="24"/>
          <w:szCs w:val="24"/>
        </w:rPr>
        <w:t>olmadığına karar vermiştir</w:t>
      </w:r>
      <w:r w:rsidRPr="003D5488">
        <w:rPr>
          <w:rFonts w:ascii="Times New Roman" w:hAnsi="Times New Roman" w:cs="Times New Roman"/>
          <w:sz w:val="24"/>
          <w:szCs w:val="24"/>
        </w:rPr>
        <w:t>. Bu şekilde Anayasa Mahkemesi, başvurucunun 13 Kasım 2012 ve 21 Nisan 2013 tarihli iki konuşmasına atıf yaparak mevcut davada suç işlenmiş olabileceğine dair belirtinin bulunduğuna kanaat getirmiştir. Son olarak Anayasa Mahkemesi, A.D.’</w:t>
      </w:r>
      <w:proofErr w:type="spellStart"/>
      <w:r w:rsidRPr="003D5488">
        <w:rPr>
          <w:rFonts w:ascii="Times New Roman" w:hAnsi="Times New Roman" w:cs="Times New Roman"/>
          <w:sz w:val="24"/>
          <w:szCs w:val="24"/>
        </w:rPr>
        <w:t>nin</w:t>
      </w:r>
      <w:proofErr w:type="spellEnd"/>
      <w:r w:rsidRPr="003D5488">
        <w:rPr>
          <w:rFonts w:ascii="Times New Roman" w:hAnsi="Times New Roman" w:cs="Times New Roman"/>
          <w:sz w:val="24"/>
          <w:szCs w:val="24"/>
        </w:rPr>
        <w:t xml:space="preserve"> evinde ele geçen belgeler ve </w:t>
      </w:r>
      <w:r w:rsidRPr="003D5488">
        <w:rPr>
          <w:rFonts w:ascii="Times New Roman" w:hAnsi="Times New Roman" w:cs="Times New Roman"/>
          <w:sz w:val="24"/>
          <w:szCs w:val="24"/>
        </w:rPr>
        <w:lastRenderedPageBreak/>
        <w:t xml:space="preserve">başvurucu ile örgüt yöneticileri arasında geçtiği belirtilen konuşmaların içeriği dikkate alındığında, başvurucunun örgüt yöneticilerinin talimatları doğrultusunda hareket etmiş olabileceğini beklemenin haksız olmadığına karar vermiştir. Bu nedenle başvurucunun suç </w:t>
      </w:r>
      <w:r w:rsidRPr="003D5488">
        <w:rPr>
          <w:rFonts w:ascii="Times New Roman" w:eastAsia="HiddenHorzOCR" w:hAnsi="Times New Roman" w:cs="Times New Roman"/>
          <w:sz w:val="24"/>
          <w:szCs w:val="24"/>
        </w:rPr>
        <w:t xml:space="preserve">şüphesini doğrulayan </w:t>
      </w:r>
      <w:r w:rsidRPr="003D5488">
        <w:rPr>
          <w:rFonts w:ascii="Times New Roman" w:hAnsi="Times New Roman" w:cs="Times New Roman"/>
          <w:sz w:val="24"/>
          <w:szCs w:val="24"/>
        </w:rPr>
        <w:t xml:space="preserve">kuvvetli belirtilerin </w:t>
      </w:r>
      <w:r w:rsidRPr="003D5488">
        <w:rPr>
          <w:rFonts w:ascii="Times New Roman" w:eastAsia="HiddenHorzOCR" w:hAnsi="Times New Roman" w:cs="Times New Roman"/>
          <w:sz w:val="24"/>
          <w:szCs w:val="24"/>
        </w:rPr>
        <w:t xml:space="preserve">bulunduğunu kabul etmiştir. </w:t>
      </w:r>
    </w:p>
    <w:p w:rsidR="00E103AC" w:rsidRPr="003D5488" w:rsidRDefault="00E103AC" w:rsidP="00E103AC">
      <w:pPr>
        <w:autoSpaceDE w:val="0"/>
        <w:autoSpaceDN w:val="0"/>
        <w:adjustRightInd w:val="0"/>
        <w:spacing w:after="0"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326. Anayasa Mahkemesi, başvurucunun suç işlemiş olabileceğine dair kuvvetli şüphenin olup olmadığını değerlendirirken, 4 Kasım 2016 tarihinde verilen tutuklama kararında olmayan birçok konuya atıfta bulunmuştur. Bu bağlamda Mahkeme, başvurucunun 13 Kasım 2012 ve 21 Nisan 2013 tarihli iki konuşmasının Diyarbakır 2. Sulh Ceza </w:t>
      </w:r>
      <w:proofErr w:type="spellStart"/>
      <w:r w:rsidR="00DA1D16">
        <w:rPr>
          <w:rFonts w:ascii="Times New Roman" w:hAnsi="Times New Roman" w:cs="Times New Roman"/>
          <w:sz w:val="24"/>
          <w:szCs w:val="24"/>
        </w:rPr>
        <w:t>Hâkim</w:t>
      </w:r>
      <w:r w:rsidRPr="003D5488">
        <w:rPr>
          <w:rFonts w:ascii="Times New Roman" w:hAnsi="Times New Roman" w:cs="Times New Roman"/>
          <w:sz w:val="24"/>
          <w:szCs w:val="24"/>
        </w:rPr>
        <w:t>liği’nin</w:t>
      </w:r>
      <w:proofErr w:type="spellEnd"/>
      <w:r w:rsidRPr="003D5488">
        <w:rPr>
          <w:rFonts w:ascii="Times New Roman" w:hAnsi="Times New Roman" w:cs="Times New Roman"/>
          <w:sz w:val="24"/>
          <w:szCs w:val="24"/>
        </w:rPr>
        <w:t xml:space="preserve"> ilk tutuklama kararında yer almadığını not etmektedir. Bununla beraber, Anayasa Mahkemesi kararında geçen ve tutukluluğun haklılığı için dayanak yapılan telefon görüşmeleri ve üçüncü bir kişinin evindeki arama sırasında ele geçirilen belgeler, Sulh Ceza </w:t>
      </w:r>
      <w:r w:rsidR="00DA1D16">
        <w:rPr>
          <w:rFonts w:ascii="Times New Roman" w:hAnsi="Times New Roman" w:cs="Times New Roman"/>
          <w:sz w:val="24"/>
          <w:szCs w:val="24"/>
        </w:rPr>
        <w:t>Hâkim</w:t>
      </w:r>
      <w:r w:rsidRPr="003D5488">
        <w:rPr>
          <w:rFonts w:ascii="Times New Roman" w:hAnsi="Times New Roman" w:cs="Times New Roman"/>
          <w:sz w:val="24"/>
          <w:szCs w:val="24"/>
        </w:rPr>
        <w:t xml:space="preserve">liği tarafından tutuklama gerekçesi yapılmamıştır. Bu deliller, iddianamenin hazırlandığı 11 Ocak 2017 tarihine kadar, başvurucunun tutuklanmasından iki ay sonra dahi herhangi bir mahkemeye sunulmamıştır. Buna göre, başvurucunun tutuklandığı 4 Kasım 2016 tarihli Diyarbakır 2. Sulh Ceza </w:t>
      </w:r>
      <w:r w:rsidR="00DA1D16">
        <w:rPr>
          <w:rFonts w:ascii="Times New Roman" w:hAnsi="Times New Roman" w:cs="Times New Roman"/>
          <w:sz w:val="24"/>
          <w:szCs w:val="24"/>
        </w:rPr>
        <w:t>Hâkim</w:t>
      </w:r>
      <w:r w:rsidRPr="003D5488">
        <w:rPr>
          <w:rFonts w:ascii="Times New Roman" w:hAnsi="Times New Roman" w:cs="Times New Roman"/>
          <w:sz w:val="24"/>
          <w:szCs w:val="24"/>
        </w:rPr>
        <w:t xml:space="preserve">liği kararında etkili olmadığı görülen bu iki ögenin başvurucunun ilk tutukluluk kararında makul şüpheyi oluşturup oluşturmadığı konusunda inceleme yapma gereği bulunmamaktır. Bu öğeler ancak başvurucunun devam eden davasında, devam ettirilen tutukluluğu için bariz ve sürekli bir makul şüphenin olup olmadığının değerlendirilmesinde dikkate alınabilir.   </w:t>
      </w:r>
    </w:p>
    <w:p w:rsidR="00E103AC" w:rsidRPr="003D5488" w:rsidRDefault="00E103AC" w:rsidP="00E103AC">
      <w:pPr>
        <w:autoSpaceDE w:val="0"/>
        <w:autoSpaceDN w:val="0"/>
        <w:adjustRightInd w:val="0"/>
        <w:spacing w:after="0"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327. Diyarbakır 2. Sulh Ceza </w:t>
      </w:r>
      <w:r w:rsidR="00DA1D16">
        <w:rPr>
          <w:rFonts w:ascii="Times New Roman" w:hAnsi="Times New Roman" w:cs="Times New Roman"/>
          <w:sz w:val="24"/>
          <w:szCs w:val="24"/>
        </w:rPr>
        <w:t>Hâkim</w:t>
      </w:r>
      <w:r w:rsidRPr="003D5488">
        <w:rPr>
          <w:rFonts w:ascii="Times New Roman" w:hAnsi="Times New Roman" w:cs="Times New Roman"/>
          <w:sz w:val="24"/>
          <w:szCs w:val="24"/>
        </w:rPr>
        <w:t xml:space="preserve">liği, başvurucunun tutukluluğunu gerekçelendirmek için öncelikle </w:t>
      </w:r>
      <w:proofErr w:type="spellStart"/>
      <w:r w:rsidRPr="003D5488">
        <w:rPr>
          <w:rFonts w:ascii="Times New Roman" w:hAnsi="Times New Roman" w:cs="Times New Roman"/>
          <w:sz w:val="24"/>
          <w:szCs w:val="24"/>
        </w:rPr>
        <w:t>HDP’nin</w:t>
      </w:r>
      <w:proofErr w:type="spellEnd"/>
      <w:r w:rsidRPr="003D5488">
        <w:rPr>
          <w:rFonts w:ascii="Times New Roman" w:hAnsi="Times New Roman" w:cs="Times New Roman"/>
          <w:sz w:val="24"/>
          <w:szCs w:val="24"/>
        </w:rPr>
        <w:t xml:space="preserve"> </w:t>
      </w:r>
      <w:proofErr w:type="spellStart"/>
      <w:r w:rsidRPr="003D5488">
        <w:rPr>
          <w:rFonts w:ascii="Times New Roman" w:hAnsi="Times New Roman" w:cs="Times New Roman"/>
          <w:sz w:val="24"/>
          <w:szCs w:val="24"/>
        </w:rPr>
        <w:t>Twitter</w:t>
      </w:r>
      <w:proofErr w:type="spellEnd"/>
      <w:r w:rsidRPr="003D5488">
        <w:rPr>
          <w:rFonts w:ascii="Times New Roman" w:hAnsi="Times New Roman" w:cs="Times New Roman"/>
          <w:sz w:val="24"/>
          <w:szCs w:val="24"/>
        </w:rPr>
        <w:t xml:space="preserve"> hesabından atılan </w:t>
      </w:r>
      <w:proofErr w:type="spellStart"/>
      <w:r w:rsidRPr="003D5488">
        <w:rPr>
          <w:rFonts w:ascii="Times New Roman" w:hAnsi="Times New Roman" w:cs="Times New Roman"/>
          <w:sz w:val="24"/>
          <w:szCs w:val="24"/>
        </w:rPr>
        <w:t>tweetlere</w:t>
      </w:r>
      <w:proofErr w:type="spellEnd"/>
      <w:r w:rsidRPr="003D5488">
        <w:rPr>
          <w:rFonts w:ascii="Times New Roman" w:hAnsi="Times New Roman" w:cs="Times New Roman"/>
          <w:sz w:val="24"/>
          <w:szCs w:val="24"/>
        </w:rPr>
        <w:t xml:space="preserve"> dayanmıştır. Söz konusu üç </w:t>
      </w:r>
      <w:proofErr w:type="spellStart"/>
      <w:r w:rsidRPr="003D5488">
        <w:rPr>
          <w:rFonts w:ascii="Times New Roman" w:hAnsi="Times New Roman" w:cs="Times New Roman"/>
          <w:sz w:val="24"/>
          <w:szCs w:val="24"/>
        </w:rPr>
        <w:t>tweette</w:t>
      </w:r>
      <w:proofErr w:type="spellEnd"/>
      <w:r w:rsidRPr="003D5488">
        <w:rPr>
          <w:rFonts w:ascii="Times New Roman" w:hAnsi="Times New Roman" w:cs="Times New Roman"/>
          <w:sz w:val="24"/>
          <w:szCs w:val="24"/>
        </w:rPr>
        <w:t xml:space="preserve"> HDP, o sırada yoğun IŞİD saldırısı altında bulunan </w:t>
      </w:r>
      <w:proofErr w:type="spellStart"/>
      <w:r w:rsidRPr="003D5488">
        <w:rPr>
          <w:rFonts w:ascii="Times New Roman" w:hAnsi="Times New Roman" w:cs="Times New Roman"/>
          <w:sz w:val="24"/>
          <w:szCs w:val="24"/>
        </w:rPr>
        <w:t>Kobane</w:t>
      </w:r>
      <w:proofErr w:type="spellEnd"/>
      <w:r w:rsidRPr="003D5488">
        <w:rPr>
          <w:rFonts w:ascii="Times New Roman" w:hAnsi="Times New Roman" w:cs="Times New Roman"/>
          <w:sz w:val="24"/>
          <w:szCs w:val="24"/>
        </w:rPr>
        <w:t xml:space="preserve"> halkı ile dayanışma çağrısı yapmıştır. Mahkeme, özellikle Suriye’deki krizin sonucu olarak Türkiye’nin karşılaştığı terör saldırılarından dolayı yaşadığı zorlukları dikkate almaya hazırdır. Ekim 2014’te, Suriye iç savaşı Türkiye’nin ulusal güvenliğine tehdit oluşturmuştur. Bu bağlamda, </w:t>
      </w:r>
      <w:proofErr w:type="spellStart"/>
      <w:r w:rsidRPr="003D5488">
        <w:rPr>
          <w:rFonts w:ascii="Times New Roman" w:hAnsi="Times New Roman" w:cs="Times New Roman"/>
          <w:sz w:val="24"/>
          <w:szCs w:val="24"/>
        </w:rPr>
        <w:t>HDP’nin</w:t>
      </w:r>
      <w:proofErr w:type="spellEnd"/>
      <w:r w:rsidRPr="003D5488">
        <w:rPr>
          <w:rFonts w:ascii="Times New Roman" w:hAnsi="Times New Roman" w:cs="Times New Roman"/>
          <w:sz w:val="24"/>
          <w:szCs w:val="24"/>
        </w:rPr>
        <w:t xml:space="preserve"> halkı sokağa çağıran </w:t>
      </w:r>
      <w:proofErr w:type="spellStart"/>
      <w:r w:rsidRPr="003D5488">
        <w:rPr>
          <w:rFonts w:ascii="Times New Roman" w:hAnsi="Times New Roman" w:cs="Times New Roman"/>
          <w:sz w:val="24"/>
          <w:szCs w:val="24"/>
        </w:rPr>
        <w:t>tweetleri</w:t>
      </w:r>
      <w:proofErr w:type="spellEnd"/>
      <w:r w:rsidRPr="003D5488">
        <w:rPr>
          <w:rFonts w:ascii="Times New Roman" w:hAnsi="Times New Roman" w:cs="Times New Roman"/>
          <w:sz w:val="24"/>
          <w:szCs w:val="24"/>
        </w:rPr>
        <w:t xml:space="preserve"> bu hassas duruma uygun değildir. Bu çağrılar şüphesiz olarak, başta Türkiye’nin güney doğusu olmak üzere zor durumlar ortaya çıkarmıştır. Gerçekten de, çağrılar üzerine birçok şiddet olayı meydana gelmiştir (bakınız yukarıda 23. ve 25. paragraflar). Ancak Mahkeme, bu çağrıların siyasi ifade sınırları kapsamında kaldığını ve bu haliyle şiddete çağrı oluşturmadığını değerlendirmiştir. 6-8 Ekim 2014 tarihinde her ne kadar vahim şiddet eylemleri meydana gelmiş olsa da, bu eylemler doğrudan söz </w:t>
      </w:r>
      <w:r w:rsidRPr="003D5488">
        <w:rPr>
          <w:rFonts w:ascii="Times New Roman" w:hAnsi="Times New Roman" w:cs="Times New Roman"/>
          <w:sz w:val="24"/>
          <w:szCs w:val="24"/>
        </w:rPr>
        <w:lastRenderedPageBreak/>
        <w:t xml:space="preserve">konusu </w:t>
      </w:r>
      <w:proofErr w:type="spellStart"/>
      <w:r w:rsidRPr="003D5488">
        <w:rPr>
          <w:rFonts w:ascii="Times New Roman" w:hAnsi="Times New Roman" w:cs="Times New Roman"/>
          <w:sz w:val="24"/>
          <w:szCs w:val="24"/>
        </w:rPr>
        <w:t>tweetlerin</w:t>
      </w:r>
      <w:proofErr w:type="spellEnd"/>
      <w:r w:rsidRPr="003D5488">
        <w:rPr>
          <w:rFonts w:ascii="Times New Roman" w:hAnsi="Times New Roman" w:cs="Times New Roman"/>
          <w:sz w:val="24"/>
          <w:szCs w:val="24"/>
        </w:rPr>
        <w:t xml:space="preserve"> sonucu olarak değerlendirilip başvurucunun tutukluluğunu haklı göstermemektedir.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328. Daha sonra, Diyarbakır 2. Sulh Ceza </w:t>
      </w:r>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 xml:space="preserve">liği, başvurucunun 6-8 Ekim 2014 olaylarına ve “ hendek olaylarına” ilişkin belli bazı açıklamalarına ya da daha genel olarak Kürt sorununa ilişkin açıklamalarına dayanmıştır. Başvurucunun açıklamalarının içeriği Hükümet’in politikalarına çok sert saldırı olarak görülebilir. “Hendek olaylarına” ilişkin açıklamaları ve “direniş” kavramını kullanma şekli, Devlet ya da nüfusun bir kısmı tarafından tahkir edici görülebilir. Alınabilir, şok veya rahatsız da olabilirler. Ancak başvurucu, bu sözlerinde şiddet yöntemlerini kullanmaya çağrı yapmadığı gibi, bu açıklamaları terör </w:t>
      </w:r>
      <w:proofErr w:type="spellStart"/>
      <w:r w:rsidRPr="003D5488">
        <w:rPr>
          <w:rFonts w:ascii="Times New Roman" w:eastAsia="Times New Roman" w:hAnsi="Times New Roman" w:cs="Times New Roman"/>
          <w:sz w:val="24"/>
          <w:szCs w:val="24"/>
          <w:lang w:eastAsia="tr-TR"/>
        </w:rPr>
        <w:t>endoktrinasyonu</w:t>
      </w:r>
      <w:proofErr w:type="spellEnd"/>
      <w:r w:rsidRPr="003D5488">
        <w:rPr>
          <w:rFonts w:ascii="Times New Roman" w:eastAsia="Times New Roman" w:hAnsi="Times New Roman" w:cs="Times New Roman"/>
          <w:sz w:val="24"/>
          <w:szCs w:val="24"/>
          <w:lang w:eastAsia="tr-TR"/>
        </w:rPr>
        <w:t xml:space="preserve"> seviyesine ulaşmamış, bir saldırı failini övmemiş, bir saldırının mağdurlarını aşağılamamış, terör örgütlerine kaynak yaratma ya da diğer benzer davranışlar için çağrı yapmamıştır. (bakınız örneğin, </w:t>
      </w:r>
      <w:r w:rsidRPr="003D5488">
        <w:rPr>
          <w:rFonts w:ascii="Times New Roman" w:eastAsia="Times New Roman" w:hAnsi="Times New Roman" w:cs="Times New Roman"/>
          <w:i/>
          <w:iCs/>
          <w:sz w:val="24"/>
          <w:szCs w:val="24"/>
          <w:lang w:eastAsia="tr-TR"/>
        </w:rPr>
        <w:t>Yavuz ve Yaylalı v. Türkiye</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w:t>
      </w:r>
      <w:r w:rsidRPr="00894AC8">
        <w:rPr>
          <w:rFonts w:ascii="Times New Roman" w:eastAsia="Times New Roman" w:hAnsi="Times New Roman" w:cs="Times New Roman"/>
          <w:sz w:val="24"/>
          <w:szCs w:val="24"/>
          <w:lang w:eastAsia="tr-TR"/>
        </w:rPr>
        <w:t>12606/11</w:t>
      </w:r>
      <w:r w:rsidRPr="003D5488">
        <w:rPr>
          <w:rFonts w:ascii="Times New Roman" w:eastAsia="Times New Roman" w:hAnsi="Times New Roman" w:cs="Times New Roman"/>
          <w:sz w:val="24"/>
          <w:szCs w:val="24"/>
          <w:lang w:eastAsia="tr-TR"/>
        </w:rPr>
        <w:t>, § 51, 17 Aralık 2013 ve </w:t>
      </w:r>
      <w:r w:rsidRPr="003D5488">
        <w:rPr>
          <w:rFonts w:ascii="Times New Roman" w:eastAsia="Times New Roman" w:hAnsi="Times New Roman" w:cs="Times New Roman"/>
          <w:i/>
          <w:iCs/>
          <w:sz w:val="24"/>
          <w:szCs w:val="24"/>
          <w:lang w:eastAsia="tr-TR"/>
        </w:rPr>
        <w:t>Güler ve Uğur</w:t>
      </w:r>
      <w:r w:rsidRPr="003D5488">
        <w:rPr>
          <w:rFonts w:ascii="Times New Roman" w:eastAsia="Times New Roman" w:hAnsi="Times New Roman" w:cs="Times New Roman"/>
          <w:sz w:val="24"/>
          <w:szCs w:val="24"/>
          <w:lang w:eastAsia="tr-TR"/>
        </w:rPr>
        <w:t>, § 52). Mahkeme’ye göre, başka türden dayanak ve deliller sunulmadığı sürece, bu açıklamalar başvurucunun tutukluluğuna gerekçe yapılan suçları işlemiş olabileceği konusunda objektif bir gözlemciyi ikna etmeye yetmemektedir. “Makul şüphe” kavramı, başvurucunun Sözleşme’nin 10. maddesi kapsamındaki ifade özgürlüğü hakkını zayıflatac</w:t>
      </w:r>
      <w:r w:rsidR="00894AC8">
        <w:rPr>
          <w:rFonts w:ascii="Times New Roman" w:eastAsia="Times New Roman" w:hAnsi="Times New Roman" w:cs="Times New Roman"/>
          <w:sz w:val="24"/>
          <w:szCs w:val="24"/>
          <w:lang w:eastAsia="tr-TR"/>
        </w:rPr>
        <w:t xml:space="preserve">ak şekilde geniş yorumlanamaz.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329. Başvurucunun Demokratik Toplum Kongresi genel kuruluna katılımı, tutukluluğuna gerekçe yapılmıştır. Ancak başvurucu bu toplantının yasal ve halka açık olduğunda ısrar etmiştir. Bu bağlamda Hükümet, bu bağlantıyı çürütebilecek herhangi bir delil sunamamıştır. Bu nedenle Mahkeme, başvurucunun barışçıl bir toplantıya katılıp orada konuşma yapmasının, tutuklama konusu suçları işlemiş olabileceğine dair objektif bir gözlemciyi ikna etmeye yeterli olmadığını düşünmektedir. Başvurucu, bu eylemlerinin Sözleşme’nin 10 ve 11. maddeleri kapsamındaki haklarının kullanımına ilişkin olduğunu savunmuştur.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330. Diyarbakır 2. Sulh Ceza </w:t>
      </w:r>
      <w:proofErr w:type="spellStart"/>
      <w:r w:rsidR="00DA1D16">
        <w:rPr>
          <w:rFonts w:ascii="Times New Roman" w:eastAsia="Times New Roman" w:hAnsi="Times New Roman" w:cs="Times New Roman"/>
          <w:sz w:val="24"/>
          <w:szCs w:val="24"/>
          <w:lang w:eastAsia="tr-TR"/>
        </w:rPr>
        <w:t>Hâkim</w:t>
      </w:r>
      <w:r w:rsidRPr="003D5488">
        <w:rPr>
          <w:rFonts w:ascii="Times New Roman" w:eastAsia="Times New Roman" w:hAnsi="Times New Roman" w:cs="Times New Roman"/>
          <w:sz w:val="24"/>
          <w:szCs w:val="24"/>
          <w:lang w:eastAsia="tr-TR"/>
        </w:rPr>
        <w:t>liği’ne</w:t>
      </w:r>
      <w:proofErr w:type="spellEnd"/>
      <w:r w:rsidRPr="003D5488">
        <w:rPr>
          <w:rFonts w:ascii="Times New Roman" w:eastAsia="Times New Roman" w:hAnsi="Times New Roman" w:cs="Times New Roman"/>
          <w:sz w:val="24"/>
          <w:szCs w:val="24"/>
          <w:lang w:eastAsia="tr-TR"/>
        </w:rPr>
        <w:t xml:space="preserve"> göre, başvurucu hakkında devam eden terör bağlantılı birden fazla ceza soruşturması, başvurucunun örgüt üyesi olma suçunu işlemiş olabileceğine dair kuvvetli suç şüphesinin varlığına karar vermeyi mümkün kılmaktadır. Mahkeme’ye göre, savcılıklar tarafından sürdürülen soruşturmalara bu şekilde genel ve muğlak bir referans, başvurucunun tutukluluğuna dayanak yapılan kuvvetli suç şüphesinin varlığının kabulü için hiçbir şekilde yeterli görülemez.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 xml:space="preserve">331. Yukarıda ifade edilenler ışığında, Mahkeme, yargılamanın ilk süreçlerinde başvurucunun tutukluluğunu haklı kılmak için gerekli olan şüpheye dair </w:t>
      </w:r>
      <w:proofErr w:type="gramStart"/>
      <w:r w:rsidRPr="003D5488">
        <w:rPr>
          <w:rFonts w:ascii="Times New Roman" w:eastAsia="Times New Roman" w:hAnsi="Times New Roman" w:cs="Times New Roman"/>
          <w:sz w:val="24"/>
          <w:szCs w:val="24"/>
          <w:lang w:eastAsia="tr-TR"/>
        </w:rPr>
        <w:t>spesifik</w:t>
      </w:r>
      <w:proofErr w:type="gramEnd"/>
      <w:r w:rsidRPr="003D5488">
        <w:rPr>
          <w:rFonts w:ascii="Times New Roman" w:eastAsia="Times New Roman" w:hAnsi="Times New Roman" w:cs="Times New Roman"/>
          <w:sz w:val="24"/>
          <w:szCs w:val="24"/>
          <w:lang w:eastAsia="tr-TR"/>
        </w:rPr>
        <w:t xml:space="preserve"> bir bilgi veya olay anılmamış ya da üretilememiş olmasına rağmen, başvurucu hakkında özgürlüğünden mahrum bırakılma tedbirinin uygulandığını gözlemlemektedir. Bu nedenle Mahkeme, başvurucunun ilk tutukluluğu konusunda başvurucunun suç işlemiş olabileceğine dair objektif bir gözlemciyi ikna etmeye yeterli bilgi ya da olayın mevcut olmadığını kabul etmektedir.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332. Mahkeme, devamla, başvurucunun 4 Kasım 2016 tarihli tutukluluğu gibi, Anayasa Mahkemesi tarafından dikkate alınan gerekçelerin başvurucunun söz konusu suçları işlemiş olabileceğine dair makul şüphenin varlığını göstermesi için yeterli olup olmadığına karar vermelidir. Bunu yaparken Mahkeme, Anayasa Mahkemesi’nin iddianamede gördüğü delilleri üç kategori halinde inceleyecektir; yani, başvurucunun 13 Kasım 2012 ve 21 Nisan 2013 tarihli konuşmaları, A.D.’</w:t>
      </w:r>
      <w:proofErr w:type="spellStart"/>
      <w:r w:rsidRPr="003D5488">
        <w:rPr>
          <w:rFonts w:ascii="Times New Roman" w:eastAsia="Times New Roman" w:hAnsi="Times New Roman" w:cs="Times New Roman"/>
          <w:sz w:val="24"/>
          <w:szCs w:val="24"/>
          <w:lang w:eastAsia="tr-TR"/>
        </w:rPr>
        <w:t>nin</w:t>
      </w:r>
      <w:proofErr w:type="spellEnd"/>
      <w:r w:rsidRPr="003D5488">
        <w:rPr>
          <w:rFonts w:ascii="Times New Roman" w:eastAsia="Times New Roman" w:hAnsi="Times New Roman" w:cs="Times New Roman"/>
          <w:sz w:val="24"/>
          <w:szCs w:val="24"/>
          <w:lang w:eastAsia="tr-TR"/>
        </w:rPr>
        <w:t xml:space="preserve"> evinde yapılan aramada ele geçen belgeler ve başvurucu ile sözde örgüt yöneticileri arasında yapıldığı iddia edilen telefon görüşmeleri.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333. Başvurucu, 13 Kasım 2012 tarihli eylemde, Abdullah Öcalan’ın heykelinin dikileceğini ifade etmiştir. Nedeni her ne olursa olsun, Mahkeme, bu açıklamanın Türkiye toplumunun geniş bir kesimi tarafından saldırgan, şok edici, rahatsız edici bulunabileceğini ve </w:t>
      </w:r>
      <w:proofErr w:type="gramStart"/>
      <w:r w:rsidRPr="003D5488">
        <w:rPr>
          <w:rFonts w:ascii="Times New Roman" w:eastAsia="Times New Roman" w:hAnsi="Times New Roman" w:cs="Times New Roman"/>
          <w:sz w:val="24"/>
          <w:szCs w:val="24"/>
          <w:lang w:eastAsia="tr-TR"/>
        </w:rPr>
        <w:t>polemiğe</w:t>
      </w:r>
      <w:proofErr w:type="gramEnd"/>
      <w:r w:rsidRPr="003D5488">
        <w:rPr>
          <w:rFonts w:ascii="Times New Roman" w:eastAsia="Times New Roman" w:hAnsi="Times New Roman" w:cs="Times New Roman"/>
          <w:sz w:val="24"/>
          <w:szCs w:val="24"/>
          <w:lang w:eastAsia="tr-TR"/>
        </w:rPr>
        <w:t xml:space="preserve"> yol açabileceğini kabul etmektedir. Bu bağlamda Mahkeme, daha önce, Abdullah Öcalan’ın liderliğini yaptığı PKK’nin Türkiye’nin güney doğusunda yaptığı terör eylemlerinin etki ve boyutlarının “ulusun varlığını tehdit eden genel bir tehlike” oluşturduğuna karar vermiştir.  (bakınız </w:t>
      </w:r>
      <w:r w:rsidRPr="003D5488">
        <w:rPr>
          <w:rFonts w:ascii="Times New Roman" w:eastAsia="Times New Roman" w:hAnsi="Times New Roman" w:cs="Times New Roman"/>
          <w:i/>
          <w:iCs/>
          <w:sz w:val="24"/>
          <w:szCs w:val="24"/>
          <w:lang w:eastAsia="tr-TR"/>
        </w:rPr>
        <w:t>Aksoy v. Türkiye</w:t>
      </w:r>
      <w:r w:rsidRPr="003D5488">
        <w:rPr>
          <w:rFonts w:ascii="Times New Roman" w:eastAsia="Times New Roman" w:hAnsi="Times New Roman" w:cs="Times New Roman"/>
          <w:sz w:val="24"/>
          <w:szCs w:val="24"/>
          <w:lang w:eastAsia="tr-TR"/>
        </w:rPr>
        <w:t>, 18 Aralık 1996, § 70, </w:t>
      </w:r>
      <w:proofErr w:type="spellStart"/>
      <w:r w:rsidRPr="003D5488">
        <w:rPr>
          <w:rFonts w:ascii="Times New Roman" w:eastAsia="Times New Roman" w:hAnsi="Times New Roman" w:cs="Times New Roman"/>
          <w:i/>
          <w:iCs/>
          <w:sz w:val="24"/>
          <w:szCs w:val="24"/>
          <w:lang w:eastAsia="tr-TR"/>
        </w:rPr>
        <w:t>Raparlar</w:t>
      </w:r>
      <w:proofErr w:type="spellEnd"/>
      <w:r w:rsidRPr="003D5488">
        <w:rPr>
          <w:rFonts w:ascii="Times New Roman" w:eastAsia="Times New Roman" w:hAnsi="Times New Roman" w:cs="Times New Roman"/>
          <w:i/>
          <w:iCs/>
          <w:sz w:val="24"/>
          <w:szCs w:val="24"/>
          <w:lang w:eastAsia="tr-TR"/>
        </w:rPr>
        <w:t> </w:t>
      </w:r>
      <w:r w:rsidRPr="003D5488">
        <w:rPr>
          <w:rFonts w:ascii="Times New Roman" w:eastAsia="Times New Roman" w:hAnsi="Times New Roman" w:cs="Times New Roman"/>
          <w:sz w:val="24"/>
          <w:szCs w:val="24"/>
          <w:lang w:eastAsia="tr-TR"/>
        </w:rPr>
        <w:t xml:space="preserve">1996-VI). Ancak başvurucu, bu sözlerin özel bir bağlamda, yani “çözüm </w:t>
      </w:r>
      <w:proofErr w:type="spellStart"/>
      <w:r w:rsidRPr="003D5488">
        <w:rPr>
          <w:rFonts w:ascii="Times New Roman" w:eastAsia="Times New Roman" w:hAnsi="Times New Roman" w:cs="Times New Roman"/>
          <w:sz w:val="24"/>
          <w:szCs w:val="24"/>
          <w:lang w:eastAsia="tr-TR"/>
        </w:rPr>
        <w:t>süreci”nde</w:t>
      </w:r>
      <w:proofErr w:type="spellEnd"/>
      <w:r w:rsidRPr="003D5488">
        <w:rPr>
          <w:rFonts w:ascii="Times New Roman" w:eastAsia="Times New Roman" w:hAnsi="Times New Roman" w:cs="Times New Roman"/>
          <w:sz w:val="24"/>
          <w:szCs w:val="24"/>
          <w:lang w:eastAsia="tr-TR"/>
        </w:rPr>
        <w:t xml:space="preserve">, devlet yetkilileri ile Abdullah Öcalan </w:t>
      </w:r>
      <w:r w:rsidR="00DA1D16">
        <w:rPr>
          <w:rFonts w:ascii="Times New Roman" w:eastAsia="Times New Roman" w:hAnsi="Times New Roman" w:cs="Times New Roman"/>
          <w:sz w:val="24"/>
          <w:szCs w:val="24"/>
          <w:lang w:eastAsia="tr-TR"/>
        </w:rPr>
        <w:t>dâhil</w:t>
      </w:r>
      <w:r w:rsidRPr="003D5488">
        <w:rPr>
          <w:rFonts w:ascii="Times New Roman" w:eastAsia="Times New Roman" w:hAnsi="Times New Roman" w:cs="Times New Roman"/>
          <w:sz w:val="24"/>
          <w:szCs w:val="24"/>
          <w:lang w:eastAsia="tr-TR"/>
        </w:rPr>
        <w:t xml:space="preserve"> PKK liderleri arasında Kürt sorununun barışçıl bir şekilde çözülmesi amacıyla yürütülen müzakereler sırasında kullanıldığını ifade etmiştir. Başvurucu bu sözleri, çözüm süreci kapsamında barışı getirecek olan kişilerin başarılarını vurgulamak niyeti ile söylediğini ifade etmiştir. Bu bağlamda, “çözüm </w:t>
      </w:r>
      <w:proofErr w:type="spellStart"/>
      <w:r w:rsidRPr="003D5488">
        <w:rPr>
          <w:rFonts w:ascii="Times New Roman" w:eastAsia="Times New Roman" w:hAnsi="Times New Roman" w:cs="Times New Roman"/>
          <w:sz w:val="24"/>
          <w:szCs w:val="24"/>
          <w:lang w:eastAsia="tr-TR"/>
        </w:rPr>
        <w:t>süreci”nin</w:t>
      </w:r>
      <w:proofErr w:type="spellEnd"/>
      <w:r w:rsidRPr="003D5488">
        <w:rPr>
          <w:rFonts w:ascii="Times New Roman" w:eastAsia="Times New Roman" w:hAnsi="Times New Roman" w:cs="Times New Roman"/>
          <w:sz w:val="24"/>
          <w:szCs w:val="24"/>
          <w:lang w:eastAsia="tr-TR"/>
        </w:rPr>
        <w:t xml:space="preserve"> sonuna kadar başvurucuya karşı bu sözlerinden dolayı herhangi bir adım atılmamıştır. Yargısal makamlar, sürecin sonunda ve konuşmanın yapılmasının üzerinden dört yıldan fazla bir zaman geçtikten sonra, hangi niyet ve bağlamda yapılmış olduğuna bakmaksızın, bu sözlerin başvurucunun tutukluluğu için yeterli dayanak oluşturduğuna karar vermiştir. Başkaca bir dayanak ve delil olmadan böylesi bir tedbire başvurulmasından dolayı Mahkeme, başvurucunun 13 </w:t>
      </w:r>
      <w:r w:rsidRPr="003D5488">
        <w:rPr>
          <w:rFonts w:ascii="Times New Roman" w:eastAsia="Times New Roman" w:hAnsi="Times New Roman" w:cs="Times New Roman"/>
          <w:sz w:val="24"/>
          <w:szCs w:val="24"/>
          <w:lang w:eastAsia="tr-TR"/>
        </w:rPr>
        <w:lastRenderedPageBreak/>
        <w:t xml:space="preserve">Kasım 2012 tarihli konuşmasının iddia edilen suçları işlemiş olabileceğine dair makul şüphe için haklı bir gerekçe oluşturduğuna ikna olmamıştır.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334. Başvurucu, 21 Nisan 2013 tarihli konuşmasında, Kürt hareketine dair görüşlerini ifade etmiştir. Başvurucu, hareketin savaşı bir meşru müdafaa mücadelesi olarak gördüğünü söylemiştir. Devamında ise şiddet içerikli yöntemler kullanılmadan da direnişin ve başarmanın mümkün olduğunu söyleyerek silah kullanımının yanlış olduğunu söylemiştir. Sonrasında ise, PKK hareketi olmadan Kürt halkının Türkiye’de var olamayacağını eklemiştir. Başvurucunun açıklamaları, Türkiye’de Kürt halkının varlığını kısmen PKK’nin yürüttüğü silahlı mücadeleye borçlu olduğuna inandığını göstermektedir. Bu sözler, Türkiye’de Kürt sorunu ile bağlantılı tarihsel olayların tanımının başvurucu tarafından yorumlanması şeklinde anlaşılabilir. Gerçekten de başvurucu konuşmasında “1984 darbesi” ve “Şemdinli ve Eruh </w:t>
      </w:r>
      <w:proofErr w:type="spellStart"/>
      <w:r w:rsidRPr="003D5488">
        <w:rPr>
          <w:rFonts w:ascii="Times New Roman" w:eastAsia="Times New Roman" w:hAnsi="Times New Roman" w:cs="Times New Roman"/>
          <w:sz w:val="24"/>
          <w:szCs w:val="24"/>
          <w:lang w:eastAsia="tr-TR"/>
        </w:rPr>
        <w:t>direnişi”lerine</w:t>
      </w:r>
      <w:proofErr w:type="spellEnd"/>
      <w:r w:rsidRPr="003D5488">
        <w:rPr>
          <w:rFonts w:ascii="Times New Roman" w:eastAsia="Times New Roman" w:hAnsi="Times New Roman" w:cs="Times New Roman"/>
          <w:sz w:val="24"/>
          <w:szCs w:val="24"/>
          <w:lang w:eastAsia="tr-TR"/>
        </w:rPr>
        <w:t xml:space="preserve"> Kürt halkının realitesini yaratan eylemler olarak atıf yapmıştır. Savcılığın da söylediği gibi, başvurucunun PKK’nin ilk terör saldırılarını “1984 darbesi” ve “Şemdinli ve Eruh direnişi” olarak tarif ettiğini söylemek mantıksız değildir. Ancak Mahkeme, bu konuşmanın da “çözüm sürecinin” genel arka planı karşısında ve Türkiye toplumunun açık bir şekilde Kürt sorununun temellerini tartıştığı bir dönemde yapıldığını dikkate almaktadır. Mahkeme’ye göre bu açıklamalar, terörizmi övme ve şiddete teşvik olarak değil, başvurucunun silahlı çatışmalar konusundaki değerlendirmeleri olarak görülmelidir. Bir bütün olarak bakıldığında, bu açıklamaların Türkiye’nin belli bir bölgesinde şiddet arayışını özendirmeye ve güvenlik sorununu daha da kötüleştirmeye elverişli olduğunu söylenemez.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335. Diyarbakır Savcılığı, başvurucuyu yasadışı KCK örgütünün siyasi kanadının bir parçası olmakla suçlamıştır. Bu bağlamda savcılık, başka birinin ev araması sırasında ele geçirilen harici bellek içerisinde bulunan ve savcılığa göre başvurucunun PKK’nin talimatları doğrultusunda aldığı mektubu ölen birinin ailesine ilettiğini gösteren iki belge sunmuştur. Ancak başvurucu, yerel mahkeme yargılaması sırasında bu belgelerin uydurulmuş olduğunu ileri sürmüştür. Mahkeme, Hükümet’in başvurucunun bu iddiasını çürütecek bir delil sunamadığını gözlemlemiştir. Mahkeme’ye göre bu belgelerin sahihliğine ilişkin şüpheler karşısında, objektif bir gözlemcinin başvurucuya yönelik suçlamaları destekleyen makul bir şüphenin olduğu sonucuna varması mümkün değildir.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336. Ek olarak, Diyarbakır Cumhuriyet Savcılığı, suçlamaları desteklemek için, S.O. ve K.Y. , ve başvurucu ile K.Y. arasında geçmiş olan telefon </w:t>
      </w:r>
      <w:r w:rsidRPr="003D5488">
        <w:rPr>
          <w:rFonts w:ascii="Times New Roman" w:eastAsia="Times New Roman" w:hAnsi="Times New Roman" w:cs="Times New Roman"/>
          <w:sz w:val="24"/>
          <w:szCs w:val="24"/>
          <w:lang w:eastAsia="tr-TR"/>
        </w:rPr>
        <w:lastRenderedPageBreak/>
        <w:t xml:space="preserve">görüşmelerini sunmuştur. Savcılığa göre bu kayıtlar yurtdışında aralarında Avrupa Konseyi’nin de olduğu birtakım toplantılara katılmak için başvurucunun </w:t>
      </w:r>
      <w:proofErr w:type="spellStart"/>
      <w:r w:rsidRPr="003D5488">
        <w:rPr>
          <w:rFonts w:ascii="Times New Roman" w:eastAsia="Times New Roman" w:hAnsi="Times New Roman" w:cs="Times New Roman"/>
          <w:sz w:val="24"/>
          <w:szCs w:val="24"/>
          <w:lang w:eastAsia="tr-TR"/>
        </w:rPr>
        <w:t>S.O.’dan</w:t>
      </w:r>
      <w:proofErr w:type="spellEnd"/>
      <w:r w:rsidRPr="003D5488">
        <w:rPr>
          <w:rFonts w:ascii="Times New Roman" w:eastAsia="Times New Roman" w:hAnsi="Times New Roman" w:cs="Times New Roman"/>
          <w:sz w:val="24"/>
          <w:szCs w:val="24"/>
          <w:lang w:eastAsia="tr-TR"/>
        </w:rPr>
        <w:t xml:space="preserve"> talimat aldığını göstermektedir. Başvurucu, bu kayıtların gerçek olmadığını ileri sürmüştür. Bu bağlamda yerel mahkemede bu kayıtların gerçekliğinin araştırılması için sunduğu taleplerin reddine ilişkin belgeleri sunmuştur. Telefon dinlemelerine ilişkin olarak Mahkeme, bu delillerin örgütlü suçlarla mücadele konusundaki öneminin farkındadır. Bununla beraber, bir sanık bu kayıtların geçerliliğine itiraz ettiğinde, yargısal makamlar bunların güvenilirliğini ortaya koymak zorundadır. (bakınız benzer yönde, </w:t>
      </w:r>
      <w:proofErr w:type="spellStart"/>
      <w:r w:rsidRPr="003D5488">
        <w:rPr>
          <w:rFonts w:ascii="Times New Roman" w:eastAsia="Times New Roman" w:hAnsi="Times New Roman" w:cs="Times New Roman"/>
          <w:i/>
          <w:iCs/>
          <w:sz w:val="24"/>
          <w:szCs w:val="24"/>
          <w:lang w:eastAsia="tr-TR"/>
        </w:rPr>
        <w:t>Gäfgen</w:t>
      </w:r>
      <w:proofErr w:type="spellEnd"/>
      <w:r w:rsidRPr="003D5488">
        <w:rPr>
          <w:rFonts w:ascii="Times New Roman" w:eastAsia="Times New Roman" w:hAnsi="Times New Roman" w:cs="Times New Roman"/>
          <w:i/>
          <w:iCs/>
          <w:sz w:val="24"/>
          <w:szCs w:val="24"/>
          <w:lang w:eastAsia="tr-TR"/>
        </w:rPr>
        <w:t xml:space="preserve"> v. Almanya </w:t>
      </w:r>
      <w:r w:rsidRPr="003D5488">
        <w:rPr>
          <w:rFonts w:ascii="Times New Roman" w:eastAsia="Times New Roman" w:hAnsi="Times New Roman" w:cs="Times New Roman"/>
          <w:sz w:val="24"/>
          <w:szCs w:val="24"/>
          <w:lang w:eastAsia="tr-TR"/>
        </w:rPr>
        <w:t xml:space="preserve">[BD], yukarıda anılan, § 164 ve </w:t>
      </w:r>
      <w:r w:rsidRPr="003D5488">
        <w:rPr>
          <w:rFonts w:ascii="Times New Roman" w:eastAsia="Times New Roman" w:hAnsi="Times New Roman" w:cs="Times New Roman"/>
          <w:i/>
          <w:iCs/>
          <w:sz w:val="24"/>
          <w:szCs w:val="24"/>
          <w:lang w:eastAsia="tr-TR"/>
        </w:rPr>
        <w:t>Allan v. Birleşik Krallık</w:t>
      </w:r>
      <w:r w:rsidRPr="003D5488">
        <w:rPr>
          <w:rFonts w:ascii="Times New Roman" w:eastAsia="Times New Roman" w:hAnsi="Times New Roman" w:cs="Times New Roman"/>
          <w:sz w:val="24"/>
          <w:szCs w:val="24"/>
          <w:lang w:eastAsia="tr-TR"/>
        </w:rPr>
        <w:t>. </w:t>
      </w:r>
      <w:r w:rsidRPr="00894AC8">
        <w:rPr>
          <w:rFonts w:ascii="Times New Roman" w:eastAsia="Times New Roman" w:hAnsi="Times New Roman" w:cs="Times New Roman"/>
          <w:sz w:val="24"/>
          <w:szCs w:val="24"/>
          <w:lang w:eastAsia="tr-TR"/>
        </w:rPr>
        <w:t>48539/99</w:t>
      </w:r>
      <w:r w:rsidRPr="003D5488">
        <w:rPr>
          <w:rFonts w:ascii="Times New Roman" w:eastAsia="Times New Roman" w:hAnsi="Times New Roman" w:cs="Times New Roman"/>
          <w:sz w:val="24"/>
          <w:szCs w:val="24"/>
          <w:lang w:eastAsia="tr-TR"/>
        </w:rPr>
        <w:t>, § 43, ECHR 2002</w:t>
      </w:r>
      <w:r w:rsidRPr="003D5488">
        <w:rPr>
          <w:rFonts w:ascii="Times New Roman" w:eastAsia="Times New Roman" w:hAnsi="Times New Roman" w:cs="Times New Roman"/>
          <w:sz w:val="24"/>
          <w:szCs w:val="24"/>
          <w:lang w:eastAsia="tr-TR"/>
        </w:rPr>
        <w:noBreakHyphen/>
        <w:t xml:space="preserve">IX). Tutukluluğu bu delile dayanılarak devam ettirilen birinin durumu için bu durum evleviyetle uygulanmalıdır. Ancak mevcut davada yerel mahkemeler, Savcılık tarafından sunulan bu kayıtların güvenilirliğini doğrulamaya istekli görünmemektedir. Bu kayıtlar güvenilir olsa dahi, Mahkeme, dosyadaki belgelerden başvurucunun ne “talimatlara” gerçekten uyduğunun tespit edilebildiğini ne de 2008’de Avrupa Konseyi’ndeki bir programa katılmanın başvurucunun tutukluluğunun yıllarca devam ettirilmesi ve şüphenin dayanağı bir olay olarak kabul edilebileceğini düşünmektedir.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337. Mahkeme, Sözleşme’nin 10. maddesi kapsamında yaptığı incelemede, mevcut davanın yerel mahkemelerin çok zayıf delillere dayanarak kişilerin silahlı örgüt üyeliğine karar verme eğilimlerini gösterdiğine karar vermiştir. Mahkeme, bu başlıkta yaptığı incelemede, başvurucunun tutukluluğuna gerekçe yapılan eylemlerin çok geniş yorumlandığını ve Türk Ceza Kanunu’nun 314. maddesinin lafzının, yerel mahkemelerin yorumlamaları ile de birleşince, yerel makamlar tarafından yapılacak keyfi müdahalelere karşı yeterli korumayı sağlamadığı kanaatine varmıştır. Bu nedenle, mevcut davada yorumlanan ve uygulanan terör bağlantılı suçların “öngörülebilir” olmadığına karar vermiştir. Mahkeme’ye göre bu kabul, başvurucunun konuşmaları için de aynı şekilde geçerlidir. Başvurucunun ülkenin ikinci büyük muhalefet partisi eş başkanı olarak yaptığı konuşmaların, tutukluluğunun gerekçesi olarak kabul edilen şüphenin makullüğü için yeterli değildir.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338. Yukarıda sayılan gerekçelerle Mahkeme, başvurucunun tutuklanmasına ve tutukluluğunun devamına gerekçe yapılan kararların hiçbirisinin, ağırlıklı olarak siyasi ifadeleri ve belirli yasal toplantılara katılımından oluşan eylemleri ile tutuklandığı suçlar arasındaki açık illiyet bağını gösterecek delilleri içermediğine karar vermiştir.   </w:t>
      </w:r>
    </w:p>
    <w:p w:rsidR="00E103AC" w:rsidRPr="003D5488"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bookmarkStart w:id="34" w:name="besparagrafbirsonuciki"/>
      <w:r w:rsidRPr="003D5488">
        <w:rPr>
          <w:rFonts w:ascii="Times New Roman" w:eastAsia="Times New Roman" w:hAnsi="Times New Roman" w:cs="Times New Roman"/>
          <w:sz w:val="24"/>
          <w:szCs w:val="24"/>
          <w:lang w:eastAsia="tr-TR"/>
        </w:rPr>
        <w:lastRenderedPageBreak/>
        <w:t xml:space="preserve">339. Mevcut davada Hükümet, Ankara Ağır Ceza Mahkemesi uhdesinde bulunduğu varsayılan delillerin, başvurucunun tutuklandığı suçları işlemiş olabileceğine dair objektif bir gözlemciyi ikna etmeye yeterli olması gibi, Sözleşme’nin 5. maddesinin gerekli gördüğü “makul şüphe” standartlarını karşıladığını ortaya koyamamıştır. Başvurucuya yönelik suçlamaların iç hukukta en nihayetinde ve makul surette cezai sorumluluk doğurmaması gerektiği bir tarafa, bu suçlamalar esasında </w:t>
      </w:r>
      <w:proofErr w:type="spellStart"/>
      <w:r w:rsidRPr="003D5488">
        <w:rPr>
          <w:rFonts w:ascii="Times New Roman" w:eastAsia="Times New Roman" w:hAnsi="Times New Roman" w:cs="Times New Roman"/>
          <w:sz w:val="24"/>
          <w:szCs w:val="24"/>
          <w:lang w:eastAsia="tr-TR"/>
        </w:rPr>
        <w:t>Sözleşmesel</w:t>
      </w:r>
      <w:proofErr w:type="spellEnd"/>
      <w:r w:rsidRPr="003D5488">
        <w:rPr>
          <w:rFonts w:ascii="Times New Roman" w:eastAsia="Times New Roman" w:hAnsi="Times New Roman" w:cs="Times New Roman"/>
          <w:sz w:val="24"/>
          <w:szCs w:val="24"/>
          <w:lang w:eastAsia="tr-TR"/>
        </w:rPr>
        <w:t xml:space="preserve"> hakların kullanımına ilişkindir.</w:t>
      </w:r>
      <w:bookmarkEnd w:id="34"/>
      <w:r w:rsidRPr="003D5488">
        <w:rPr>
          <w:rFonts w:ascii="Times New Roman" w:eastAsia="Times New Roman" w:hAnsi="Times New Roman" w:cs="Times New Roman"/>
          <w:sz w:val="24"/>
          <w:szCs w:val="24"/>
          <w:lang w:eastAsia="tr-TR"/>
        </w:rPr>
        <w:t xml:space="preserve"> (bkz. </w:t>
      </w:r>
      <w:r w:rsidRPr="003D5488">
        <w:rPr>
          <w:rFonts w:ascii="Times New Roman" w:eastAsia="Times New Roman" w:hAnsi="Times New Roman" w:cs="Times New Roman"/>
          <w:i/>
          <w:iCs/>
          <w:sz w:val="24"/>
          <w:szCs w:val="24"/>
          <w:lang w:eastAsia="tr-TR"/>
        </w:rPr>
        <w:t>Kavala</w:t>
      </w:r>
      <w:r w:rsidRPr="003D5488">
        <w:rPr>
          <w:rFonts w:ascii="Times New Roman" w:eastAsia="Times New Roman" w:hAnsi="Times New Roman" w:cs="Times New Roman"/>
          <w:sz w:val="24"/>
          <w:szCs w:val="24"/>
          <w:lang w:eastAsia="tr-TR"/>
        </w:rPr>
        <w:t>, yukarıda anılan, § 157).</w:t>
      </w:r>
    </w:p>
    <w:p w:rsidR="00657F79" w:rsidRDefault="00E103AC" w:rsidP="00E103A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340. Bu nedenle Mahkeme, başvurucunun suç işlemiş olabileceğine dair makul şüphe bulunmadığından Sözleşme’nin 5. maddesinin 1. fıkrasının ihlal edildiğine karar vermiştir. </w:t>
      </w:r>
    </w:p>
    <w:p w:rsidR="00DA1D16" w:rsidRPr="003D5488" w:rsidRDefault="00DA1D16" w:rsidP="00E103AC">
      <w:pPr>
        <w:shd w:val="clear" w:color="auto" w:fill="FFFFFF"/>
        <w:spacing w:after="0" w:line="276" w:lineRule="auto"/>
        <w:jc w:val="both"/>
        <w:rPr>
          <w:rFonts w:ascii="Times New Roman" w:eastAsia="Times New Roman" w:hAnsi="Times New Roman" w:cs="Times New Roman"/>
          <w:sz w:val="24"/>
          <w:szCs w:val="24"/>
          <w:lang w:eastAsia="tr-TR"/>
        </w:rPr>
      </w:pPr>
    </w:p>
    <w:p w:rsidR="00193356" w:rsidRPr="003D5488" w:rsidRDefault="00FE3E5B" w:rsidP="0060280C">
      <w:pPr>
        <w:numPr>
          <w:ilvl w:val="0"/>
          <w:numId w:val="1"/>
        </w:numPr>
        <w:shd w:val="clear" w:color="auto" w:fill="FFFFFF"/>
        <w:spacing w:before="100" w:after="240" w:line="276" w:lineRule="auto"/>
        <w:ind w:left="510" w:firstLine="0"/>
        <w:jc w:val="both"/>
        <w:rPr>
          <w:rFonts w:ascii="Times New Roman" w:eastAsia="Times New Roman" w:hAnsi="Times New Roman" w:cs="Times New Roman"/>
          <w:b/>
          <w:bCs/>
          <w:sz w:val="24"/>
          <w:szCs w:val="24"/>
          <w:lang w:eastAsia="tr-TR"/>
        </w:rPr>
      </w:pPr>
      <w:r w:rsidRPr="003D5488">
        <w:rPr>
          <w:rFonts w:ascii="Times New Roman" w:eastAsia="Times New Roman" w:hAnsi="Times New Roman" w:cs="Times New Roman"/>
          <w:b/>
          <w:bCs/>
          <w:sz w:val="24"/>
          <w:szCs w:val="24"/>
          <w:lang w:eastAsia="tr-TR"/>
        </w:rPr>
        <w:t>Sözleşm</w:t>
      </w:r>
      <w:r w:rsidR="00E103AC" w:rsidRPr="003D5488">
        <w:rPr>
          <w:rFonts w:ascii="Times New Roman" w:eastAsia="Times New Roman" w:hAnsi="Times New Roman" w:cs="Times New Roman"/>
          <w:b/>
          <w:bCs/>
          <w:sz w:val="24"/>
          <w:szCs w:val="24"/>
          <w:lang w:eastAsia="tr-TR"/>
        </w:rPr>
        <w:t xml:space="preserve">e’nin 5. maddesinin 3. fıkrası </w:t>
      </w:r>
      <w:r w:rsidRPr="003D5488">
        <w:rPr>
          <w:rFonts w:ascii="Times New Roman" w:eastAsia="Times New Roman" w:hAnsi="Times New Roman" w:cs="Times New Roman"/>
          <w:b/>
          <w:bCs/>
          <w:sz w:val="24"/>
          <w:szCs w:val="24"/>
          <w:lang w:eastAsia="tr-TR"/>
        </w:rPr>
        <w:t xml:space="preserve">altında yapılan </w:t>
      </w:r>
      <w:r w:rsidR="007E3DD1" w:rsidRPr="003D5488">
        <w:rPr>
          <w:rFonts w:ascii="Times New Roman" w:eastAsia="Times New Roman" w:hAnsi="Times New Roman" w:cs="Times New Roman"/>
          <w:b/>
          <w:bCs/>
          <w:sz w:val="24"/>
          <w:szCs w:val="24"/>
          <w:lang w:eastAsia="tr-TR"/>
        </w:rPr>
        <w:t>şikâyet</w:t>
      </w:r>
      <w:r w:rsidRPr="003D5488">
        <w:rPr>
          <w:rFonts w:ascii="Times New Roman" w:eastAsia="Times New Roman" w:hAnsi="Times New Roman" w:cs="Times New Roman"/>
          <w:b/>
          <w:bCs/>
          <w:sz w:val="24"/>
          <w:szCs w:val="24"/>
          <w:lang w:eastAsia="tr-TR"/>
        </w:rPr>
        <w:t xml:space="preserve"> </w:t>
      </w:r>
    </w:p>
    <w:p w:rsidR="003820C1" w:rsidRPr="003D5488" w:rsidRDefault="00193356" w:rsidP="0060280C">
      <w:pPr>
        <w:spacing w:line="276" w:lineRule="auto"/>
        <w:jc w:val="both"/>
        <w:rPr>
          <w:rFonts w:ascii="Times New Roman" w:hAnsi="Times New Roman" w:cs="Times New Roman"/>
          <w:sz w:val="24"/>
          <w:szCs w:val="24"/>
        </w:rPr>
      </w:pPr>
      <w:r w:rsidRPr="003D5488">
        <w:rPr>
          <w:rFonts w:ascii="Times New Roman" w:hAnsi="Times New Roman" w:cs="Times New Roman"/>
          <w:sz w:val="24"/>
          <w:szCs w:val="24"/>
        </w:rPr>
        <w:t xml:space="preserve">341.  </w:t>
      </w:r>
      <w:r w:rsidR="003820C1" w:rsidRPr="003D5488">
        <w:rPr>
          <w:rFonts w:ascii="Times New Roman" w:eastAsia="Times New Roman" w:hAnsi="Times New Roman" w:cs="Times New Roman"/>
          <w:sz w:val="24"/>
          <w:szCs w:val="24"/>
          <w:lang w:eastAsia="tr-TR"/>
        </w:rPr>
        <w:t>Başvurucu, tutukluluk süresini ileri sürerek, tutukluluğuna ve tutukluluk halinin devamına hükmeden kararların, kendisine göre sadece kanun tarafından öngörülen tutukluluk gerekçelerine basit bir atıfta bulunarak gerekçelendirildiğinden ve bu gerekçelerin soyut, tekrar eden ve basmakalıp ifadelerle belirtildiğinden şikâyet etmektedir. Başvurucu, bu bağlamda Sözleşmenin 5. maddesinin 3. fıkrasının ihlal edildiğini iddia etmektedir. Söz konusu madde aşağıdaki gibidir:</w:t>
      </w:r>
    </w:p>
    <w:p w:rsidR="003820C1" w:rsidRPr="003D5488" w:rsidRDefault="003820C1" w:rsidP="0060280C">
      <w:pPr>
        <w:shd w:val="clear" w:color="auto" w:fill="FFFFFF"/>
        <w:spacing w:before="120" w:after="12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“İşbu maddenin 1. c fıkrasında öngörülen koşullar uyarınca yakalanan veya tutulan herkesin derhal bir yargıç veya yasayla adli görev yapmaya yetkili kılınmış sair bir kamu görevlisinin önüne çıkarılması zorunlu olup, bu kişi makul bir süre içinde yargılanma ya da yargılama süresince serbest bırakılma hakkına sahiptir. Salıverilme, ilgilinin duruşmada hazır bulunmasını sağlayacak bir teminat şartına bağlanabilir. ”</w:t>
      </w:r>
    </w:p>
    <w:p w:rsidR="00086E65" w:rsidRDefault="003820C1" w:rsidP="00724F6F">
      <w:pPr>
        <w:pStyle w:val="Balk2"/>
        <w:numPr>
          <w:ilvl w:val="6"/>
          <w:numId w:val="11"/>
        </w:numPr>
        <w:ind w:left="630"/>
      </w:pPr>
      <w:r w:rsidRPr="003D5488">
        <w:t>Büyük Daire’nin değerlendirmesi</w:t>
      </w:r>
    </w:p>
    <w:p w:rsidR="00086E65" w:rsidRPr="00086E65" w:rsidRDefault="00086E65" w:rsidP="00086E65">
      <w:pPr>
        <w:pStyle w:val="Balk2"/>
        <w:numPr>
          <w:ilvl w:val="0"/>
          <w:numId w:val="0"/>
        </w:numPr>
        <w:ind w:left="1350"/>
      </w:pPr>
    </w:p>
    <w:p w:rsidR="003D37B3" w:rsidRDefault="000E2D20" w:rsidP="00724F6F">
      <w:pPr>
        <w:pStyle w:val="Balk3"/>
        <w:numPr>
          <w:ilvl w:val="0"/>
          <w:numId w:val="21"/>
        </w:numPr>
      </w:pPr>
      <w:r w:rsidRPr="003D5488">
        <w:t>Kabul Edilebilirlik</w:t>
      </w:r>
    </w:p>
    <w:p w:rsidR="003D37B3" w:rsidRPr="003D37B3" w:rsidRDefault="003D37B3" w:rsidP="003D37B3">
      <w:pPr>
        <w:pStyle w:val="Balk3"/>
        <w:numPr>
          <w:ilvl w:val="0"/>
          <w:numId w:val="0"/>
        </w:numPr>
        <w:ind w:left="900"/>
      </w:pPr>
    </w:p>
    <w:p w:rsidR="000E2D20" w:rsidRPr="003D37B3" w:rsidRDefault="003D37B3" w:rsidP="003D37B3">
      <w:pPr>
        <w:shd w:val="clear" w:color="auto" w:fill="FFFFFF"/>
        <w:spacing w:after="0" w:line="276" w:lineRule="auto"/>
        <w:ind w:firstLine="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353. </w:t>
      </w:r>
      <w:r w:rsidR="000E2D20" w:rsidRPr="003D37B3">
        <w:rPr>
          <w:rFonts w:ascii="Times New Roman" w:eastAsia="Times New Roman" w:hAnsi="Times New Roman" w:cs="Times New Roman"/>
          <w:sz w:val="24"/>
          <w:szCs w:val="24"/>
          <w:lang w:eastAsia="tr-TR"/>
        </w:rPr>
        <w:t xml:space="preserve">Mahkeme, bu şikâyetin Sözleşme’nin 35. maddesinin 3. fıkrasının a) bendi uyarınca açıkça dayanaktan yoksun olmadığını ve herhangi bir kabul edilemezlik </w:t>
      </w:r>
      <w:proofErr w:type="gramStart"/>
      <w:r w:rsidR="000E2D20" w:rsidRPr="003D37B3">
        <w:rPr>
          <w:rFonts w:ascii="Times New Roman" w:eastAsia="Times New Roman" w:hAnsi="Times New Roman" w:cs="Times New Roman"/>
          <w:sz w:val="24"/>
          <w:szCs w:val="24"/>
          <w:lang w:eastAsia="tr-TR"/>
        </w:rPr>
        <w:t>kriteriyle</w:t>
      </w:r>
      <w:proofErr w:type="gramEnd"/>
      <w:r w:rsidR="000E2D20" w:rsidRPr="003D37B3">
        <w:rPr>
          <w:rFonts w:ascii="Times New Roman" w:eastAsia="Times New Roman" w:hAnsi="Times New Roman" w:cs="Times New Roman"/>
          <w:sz w:val="24"/>
          <w:szCs w:val="24"/>
          <w:lang w:eastAsia="tr-TR"/>
        </w:rPr>
        <w:t xml:space="preserve"> örtüşmediğini not etmiştir. Bu sebeple başvurunun kabul edilebilir olduğuna karar vermiştir.</w:t>
      </w:r>
    </w:p>
    <w:p w:rsidR="003D37B3" w:rsidRPr="003D37B3" w:rsidRDefault="003D37B3" w:rsidP="003D37B3">
      <w:pPr>
        <w:pStyle w:val="Balk3"/>
        <w:numPr>
          <w:ilvl w:val="0"/>
          <w:numId w:val="0"/>
        </w:numPr>
        <w:ind w:left="900"/>
      </w:pPr>
    </w:p>
    <w:p w:rsidR="003D37B3" w:rsidRPr="003D37B3" w:rsidRDefault="000E2D20" w:rsidP="003D37B3">
      <w:pPr>
        <w:pStyle w:val="Balk3"/>
      </w:pPr>
      <w:r w:rsidRPr="003D5488">
        <w:t>Esas Hakkında</w:t>
      </w:r>
    </w:p>
    <w:p w:rsidR="000E2D20" w:rsidRPr="003D5488" w:rsidRDefault="00193356"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353.  </w:t>
      </w:r>
      <w:r w:rsidR="000E2D20" w:rsidRPr="003D5488">
        <w:rPr>
          <w:rFonts w:ascii="Times New Roman" w:eastAsia="Times New Roman" w:hAnsi="Times New Roman" w:cs="Times New Roman"/>
          <w:sz w:val="24"/>
          <w:szCs w:val="24"/>
          <w:lang w:eastAsia="tr-TR"/>
        </w:rPr>
        <w:t xml:space="preserve">Mahkeme, tutukluluğun gerekçelendirilmesine ilişkin Sözleşme’nin 5. maddesinin 3. fıkrası altında </w:t>
      </w:r>
      <w:proofErr w:type="spellStart"/>
      <w:r w:rsidR="000E2D20" w:rsidRPr="003D5488">
        <w:rPr>
          <w:rFonts w:ascii="Times New Roman" w:eastAsia="Times New Roman" w:hAnsi="Times New Roman" w:cs="Times New Roman"/>
          <w:i/>
          <w:iCs/>
          <w:sz w:val="24"/>
          <w:szCs w:val="24"/>
          <w:lang w:eastAsia="tr-TR"/>
        </w:rPr>
        <w:t>Buzadji</w:t>
      </w:r>
      <w:proofErr w:type="spellEnd"/>
      <w:r w:rsidR="000E2D20" w:rsidRPr="003D5488">
        <w:rPr>
          <w:rFonts w:ascii="Times New Roman" w:eastAsia="Times New Roman" w:hAnsi="Times New Roman" w:cs="Times New Roman"/>
          <w:sz w:val="24"/>
          <w:szCs w:val="24"/>
          <w:lang w:eastAsia="tr-TR"/>
        </w:rPr>
        <w:t> (yukarıda anılan, §§ 87-91) ve </w:t>
      </w:r>
      <w:proofErr w:type="spellStart"/>
      <w:r w:rsidR="000E2D20" w:rsidRPr="003D5488">
        <w:rPr>
          <w:rFonts w:ascii="Times New Roman" w:eastAsia="Times New Roman" w:hAnsi="Times New Roman" w:cs="Times New Roman"/>
          <w:i/>
          <w:iCs/>
          <w:sz w:val="24"/>
          <w:szCs w:val="24"/>
          <w:lang w:eastAsia="tr-TR"/>
        </w:rPr>
        <w:t>Merabishvili</w:t>
      </w:r>
      <w:proofErr w:type="spellEnd"/>
      <w:r w:rsidR="000E2D20" w:rsidRPr="003D5488">
        <w:rPr>
          <w:rFonts w:ascii="Times New Roman" w:eastAsia="Times New Roman" w:hAnsi="Times New Roman" w:cs="Times New Roman"/>
          <w:i/>
          <w:iCs/>
          <w:sz w:val="24"/>
          <w:szCs w:val="24"/>
          <w:lang w:eastAsia="tr-TR"/>
        </w:rPr>
        <w:t xml:space="preserve"> v. Gürcistan</w:t>
      </w:r>
      <w:r w:rsidR="000E2D20" w:rsidRPr="003D5488">
        <w:rPr>
          <w:rFonts w:ascii="Times New Roman" w:eastAsia="Times New Roman" w:hAnsi="Times New Roman" w:cs="Times New Roman"/>
          <w:sz w:val="24"/>
          <w:szCs w:val="24"/>
          <w:lang w:eastAsia="tr-TR"/>
        </w:rPr>
        <w:t> ([BD], </w:t>
      </w:r>
      <w:proofErr w:type="spellStart"/>
      <w:r w:rsidR="000E2D20" w:rsidRPr="003D5488">
        <w:rPr>
          <w:rFonts w:ascii="Times New Roman" w:eastAsia="Times New Roman" w:hAnsi="Times New Roman" w:cs="Times New Roman"/>
          <w:sz w:val="24"/>
          <w:szCs w:val="24"/>
          <w:lang w:eastAsia="tr-TR"/>
        </w:rPr>
        <w:t>no</w:t>
      </w:r>
      <w:proofErr w:type="spellEnd"/>
      <w:r w:rsidR="000E2D20" w:rsidRPr="003D5488">
        <w:rPr>
          <w:rFonts w:ascii="Times New Roman" w:eastAsia="Times New Roman" w:hAnsi="Times New Roman" w:cs="Times New Roman"/>
          <w:sz w:val="24"/>
          <w:szCs w:val="24"/>
          <w:lang w:eastAsia="tr-TR"/>
        </w:rPr>
        <w:t>. </w:t>
      </w:r>
      <w:r w:rsidR="000E2D20" w:rsidRPr="003D37B3">
        <w:rPr>
          <w:rFonts w:ascii="Times New Roman" w:eastAsia="Times New Roman" w:hAnsi="Times New Roman" w:cs="Times New Roman"/>
          <w:sz w:val="24"/>
          <w:szCs w:val="24"/>
          <w:lang w:eastAsia="tr-TR"/>
        </w:rPr>
        <w:t>72508/13,</w:t>
      </w:r>
      <w:r w:rsidR="000E2D20" w:rsidRPr="003D5488">
        <w:rPr>
          <w:rFonts w:ascii="Times New Roman" w:eastAsia="Times New Roman" w:hAnsi="Times New Roman" w:cs="Times New Roman"/>
          <w:sz w:val="24"/>
          <w:szCs w:val="24"/>
          <w:lang w:eastAsia="tr-TR"/>
        </w:rPr>
        <w:t xml:space="preserve"> §§ 222-25, 28 Kasım 2017) kararlarında belirtilen genel ilkelere atıf yapmaktadır. </w:t>
      </w:r>
    </w:p>
    <w:p w:rsidR="000E2D20" w:rsidRPr="003D5488" w:rsidRDefault="00193356"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354. </w:t>
      </w:r>
      <w:r w:rsidR="000E2D20" w:rsidRPr="003D5488">
        <w:rPr>
          <w:rFonts w:ascii="Times New Roman" w:eastAsia="Times New Roman" w:hAnsi="Times New Roman" w:cs="Times New Roman"/>
          <w:sz w:val="24"/>
          <w:szCs w:val="24"/>
          <w:lang w:eastAsia="tr-TR"/>
        </w:rPr>
        <w:t xml:space="preserve">Söz konusu davada Mahkeme, </w:t>
      </w:r>
      <w:proofErr w:type="gramStart"/>
      <w:r w:rsidR="000E2D20" w:rsidRPr="003D5488">
        <w:rPr>
          <w:rFonts w:ascii="Times New Roman" w:eastAsia="Times New Roman" w:hAnsi="Times New Roman" w:cs="Times New Roman"/>
          <w:sz w:val="24"/>
          <w:szCs w:val="24"/>
          <w:lang w:eastAsia="tr-TR"/>
        </w:rPr>
        <w:t>halihazırda</w:t>
      </w:r>
      <w:proofErr w:type="gramEnd"/>
      <w:r w:rsidR="000E2D20" w:rsidRPr="003D5488">
        <w:rPr>
          <w:rFonts w:ascii="Times New Roman" w:eastAsia="Times New Roman" w:hAnsi="Times New Roman" w:cs="Times New Roman"/>
          <w:sz w:val="24"/>
          <w:szCs w:val="24"/>
          <w:lang w:eastAsia="tr-TR"/>
        </w:rPr>
        <w:t xml:space="preserve"> yerel mahkemeler tarafından </w:t>
      </w:r>
      <w:r w:rsidR="00C750FB" w:rsidRPr="003D5488">
        <w:rPr>
          <w:rFonts w:ascii="Times New Roman" w:eastAsia="Times New Roman" w:hAnsi="Times New Roman" w:cs="Times New Roman"/>
          <w:sz w:val="24"/>
          <w:szCs w:val="24"/>
          <w:lang w:eastAsia="tr-TR"/>
        </w:rPr>
        <w:t xml:space="preserve">başvurucunun tutukluluğu sırasında başvurucunun tutukluluğunu haklı gösterecek </w:t>
      </w:r>
      <w:r w:rsidR="000E2D20" w:rsidRPr="003D5488">
        <w:rPr>
          <w:rFonts w:ascii="Times New Roman" w:eastAsia="Times New Roman" w:hAnsi="Times New Roman" w:cs="Times New Roman"/>
          <w:sz w:val="24"/>
          <w:szCs w:val="24"/>
          <w:lang w:eastAsia="tr-TR"/>
        </w:rPr>
        <w:t xml:space="preserve">belirli olay ya da bilgi gösterilmediğine (bakınız yukarıdaki 338. ve 339. paragraflar) ve bu nedenle başvurucunun suç işlediğine dair makul şüphe olmadığına karar vermiştir. </w:t>
      </w:r>
    </w:p>
    <w:p w:rsidR="000E2D20" w:rsidRPr="003D5488" w:rsidRDefault="00193356"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355.  </w:t>
      </w:r>
      <w:r w:rsidR="000E2D20" w:rsidRPr="003D5488">
        <w:rPr>
          <w:rFonts w:ascii="Times New Roman" w:eastAsia="Times New Roman" w:hAnsi="Times New Roman" w:cs="Times New Roman"/>
          <w:sz w:val="24"/>
          <w:szCs w:val="24"/>
          <w:lang w:eastAsia="tr-TR"/>
        </w:rPr>
        <w:t xml:space="preserve">Mahkeme, bir kişinin tutukluluğunun devamının geçerliliği için </w:t>
      </w:r>
      <w:r w:rsidR="00FE3E5B" w:rsidRPr="003D5488">
        <w:rPr>
          <w:rFonts w:ascii="Times New Roman" w:eastAsia="Times New Roman" w:hAnsi="Times New Roman" w:cs="Times New Roman"/>
          <w:sz w:val="24"/>
          <w:szCs w:val="24"/>
          <w:lang w:eastAsia="tr-TR"/>
        </w:rPr>
        <w:t xml:space="preserve">tutuklunun suç işlediğine dair makul bir şüphenin devamlılığının </w:t>
      </w:r>
      <w:r w:rsidR="000E2D20" w:rsidRPr="003D5488">
        <w:rPr>
          <w:rFonts w:ascii="Times New Roman" w:eastAsia="Times New Roman" w:hAnsi="Times New Roman" w:cs="Times New Roman"/>
          <w:sz w:val="24"/>
          <w:szCs w:val="24"/>
          <w:lang w:eastAsia="tr-TR"/>
        </w:rPr>
        <w:t>olmazsa olmaz (</w:t>
      </w:r>
      <w:r w:rsidR="000E2D20" w:rsidRPr="003D5488">
        <w:rPr>
          <w:rFonts w:ascii="Times New Roman" w:eastAsia="Times New Roman" w:hAnsi="Times New Roman" w:cs="Times New Roman"/>
          <w:i/>
          <w:sz w:val="24"/>
          <w:szCs w:val="24"/>
          <w:lang w:eastAsia="tr-TR"/>
        </w:rPr>
        <w:t xml:space="preserve">sine </w:t>
      </w:r>
      <w:proofErr w:type="spellStart"/>
      <w:r w:rsidR="000E2D20" w:rsidRPr="003D5488">
        <w:rPr>
          <w:rFonts w:ascii="Times New Roman" w:eastAsia="Times New Roman" w:hAnsi="Times New Roman" w:cs="Times New Roman"/>
          <w:i/>
          <w:sz w:val="24"/>
          <w:szCs w:val="24"/>
          <w:lang w:eastAsia="tr-TR"/>
        </w:rPr>
        <w:t>qua</w:t>
      </w:r>
      <w:proofErr w:type="spellEnd"/>
      <w:r w:rsidR="000E2D20" w:rsidRPr="003D5488">
        <w:rPr>
          <w:rFonts w:ascii="Times New Roman" w:eastAsia="Times New Roman" w:hAnsi="Times New Roman" w:cs="Times New Roman"/>
          <w:i/>
          <w:sz w:val="24"/>
          <w:szCs w:val="24"/>
          <w:lang w:eastAsia="tr-TR"/>
        </w:rPr>
        <w:t xml:space="preserve"> </w:t>
      </w:r>
      <w:proofErr w:type="spellStart"/>
      <w:r w:rsidR="000E2D20" w:rsidRPr="003D5488">
        <w:rPr>
          <w:rFonts w:ascii="Times New Roman" w:eastAsia="Times New Roman" w:hAnsi="Times New Roman" w:cs="Times New Roman"/>
          <w:i/>
          <w:sz w:val="24"/>
          <w:szCs w:val="24"/>
          <w:lang w:eastAsia="tr-TR"/>
        </w:rPr>
        <w:t>non</w:t>
      </w:r>
      <w:proofErr w:type="spellEnd"/>
      <w:r w:rsidR="000E2D20" w:rsidRPr="003D5488">
        <w:rPr>
          <w:rFonts w:ascii="Times New Roman" w:eastAsia="Times New Roman" w:hAnsi="Times New Roman" w:cs="Times New Roman"/>
          <w:sz w:val="24"/>
          <w:szCs w:val="24"/>
          <w:lang w:eastAsia="tr-TR"/>
        </w:rPr>
        <w:t>)</w:t>
      </w:r>
      <w:r w:rsidR="00FE3E5B" w:rsidRPr="003D5488">
        <w:rPr>
          <w:rFonts w:ascii="Times New Roman" w:eastAsia="Times New Roman" w:hAnsi="Times New Roman" w:cs="Times New Roman"/>
          <w:sz w:val="24"/>
          <w:szCs w:val="24"/>
          <w:lang w:eastAsia="tr-TR"/>
        </w:rPr>
        <w:t xml:space="preserve"> olduğunu tekrarlamıştır. Böyle bir şüphenin yokluğunda Mahkeme, Sözleşme’nin 5. maddesinin 3. fıkrasının da ihlal edildiğine karar vermektedir. </w:t>
      </w:r>
    </w:p>
    <w:p w:rsidR="00FE3E5B" w:rsidRPr="003D5488" w:rsidRDefault="00193356"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35" w:name="art5para3end"/>
      <w:r w:rsidRPr="003D5488">
        <w:rPr>
          <w:rFonts w:ascii="Times New Roman" w:eastAsia="Times New Roman" w:hAnsi="Times New Roman" w:cs="Times New Roman"/>
          <w:sz w:val="24"/>
          <w:szCs w:val="24"/>
          <w:lang w:eastAsia="tr-TR"/>
        </w:rPr>
        <w:t>356</w:t>
      </w:r>
      <w:bookmarkEnd w:id="35"/>
      <w:r w:rsidRPr="003D5488">
        <w:rPr>
          <w:rFonts w:ascii="Times New Roman" w:eastAsia="Times New Roman" w:hAnsi="Times New Roman" w:cs="Times New Roman"/>
          <w:sz w:val="24"/>
          <w:szCs w:val="24"/>
          <w:lang w:eastAsia="tr-TR"/>
        </w:rPr>
        <w:t>.  </w:t>
      </w:r>
      <w:r w:rsidR="00FE3E5B" w:rsidRPr="003D5488">
        <w:rPr>
          <w:rFonts w:ascii="Times New Roman" w:eastAsia="Times New Roman" w:hAnsi="Times New Roman" w:cs="Times New Roman"/>
          <w:sz w:val="24"/>
          <w:szCs w:val="24"/>
          <w:lang w:eastAsia="tr-TR"/>
        </w:rPr>
        <w:t xml:space="preserve">Bu koşullar altında, ilgili ulusal makamların başvurucunun tutukluluğunu ilgili ve yeterli temellerle gerekçelendirip gerekçelendirmediği ya da yargılama sırasında “özel bir özen” gösterip göstermediklerini araştırmaya gerek yoktur. </w:t>
      </w:r>
    </w:p>
    <w:p w:rsidR="00193356" w:rsidRPr="003D5488" w:rsidRDefault="00193356"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137AB0" w:rsidRPr="00B47C83" w:rsidRDefault="00137AB0" w:rsidP="00B47C83">
      <w:pPr>
        <w:pStyle w:val="Balk1"/>
      </w:pPr>
      <w:r w:rsidRPr="003D5488">
        <w:t>Sözleşme’nin 5. maddesinin 4. f</w:t>
      </w:r>
      <w:r w:rsidR="00B47C83">
        <w:t>ıkrasının ihlal edildiği iddiasI</w:t>
      </w:r>
    </w:p>
    <w:p w:rsidR="00096981" w:rsidRPr="003D5488" w:rsidRDefault="00193356" w:rsidP="0060280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357.  </w:t>
      </w:r>
      <w:r w:rsidR="00096981" w:rsidRPr="003D5488">
        <w:rPr>
          <w:rFonts w:ascii="Times New Roman" w:eastAsia="Times New Roman" w:hAnsi="Times New Roman" w:cs="Times New Roman"/>
          <w:sz w:val="24"/>
          <w:szCs w:val="24"/>
          <w:lang w:eastAsia="tr-TR"/>
        </w:rPr>
        <w:t xml:space="preserve">Başvurucu, tutukluluğunun yasaya uygunluğuna itiraz etmeye çalıştığı Anayasa Mahkemesi önünde yürütülen yargılamanın, Anayasa Mahkemesinin “süratle” karar verme yükümlülüğüne riayet etmemesi sebebiyle, Sözleşme’nin gereklerine uygun olmadığını ileri sürmektedir. Başvurucu bu bağlamda, Sözleşmenin 5. maddesinin 4. fıkrasının ihlal </w:t>
      </w:r>
      <w:r w:rsidR="00C750FB" w:rsidRPr="003D5488">
        <w:rPr>
          <w:rFonts w:ascii="Times New Roman" w:eastAsia="Times New Roman" w:hAnsi="Times New Roman" w:cs="Times New Roman"/>
          <w:sz w:val="24"/>
          <w:szCs w:val="24"/>
          <w:lang w:eastAsia="tr-TR"/>
        </w:rPr>
        <w:t xml:space="preserve">edildiğinden </w:t>
      </w:r>
      <w:r w:rsidR="007E3DD1" w:rsidRPr="003D5488">
        <w:rPr>
          <w:rFonts w:ascii="Times New Roman" w:eastAsia="Times New Roman" w:hAnsi="Times New Roman" w:cs="Times New Roman"/>
          <w:sz w:val="24"/>
          <w:szCs w:val="24"/>
          <w:lang w:eastAsia="tr-TR"/>
        </w:rPr>
        <w:t>şikâyet</w:t>
      </w:r>
      <w:r w:rsidR="00C750FB" w:rsidRPr="003D5488">
        <w:rPr>
          <w:rFonts w:ascii="Times New Roman" w:eastAsia="Times New Roman" w:hAnsi="Times New Roman" w:cs="Times New Roman"/>
          <w:sz w:val="24"/>
          <w:szCs w:val="24"/>
          <w:lang w:eastAsia="tr-TR"/>
        </w:rPr>
        <w:t xml:space="preserve"> etmektedir. </w:t>
      </w:r>
    </w:p>
    <w:p w:rsidR="00096981" w:rsidRPr="003D5488" w:rsidRDefault="00096981"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B47C83" w:rsidRPr="003D5488" w:rsidRDefault="00193356" w:rsidP="0060280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358.  </w:t>
      </w:r>
      <w:r w:rsidR="00096981" w:rsidRPr="003D5488">
        <w:rPr>
          <w:rFonts w:ascii="Times New Roman" w:eastAsia="Times New Roman" w:hAnsi="Times New Roman" w:cs="Times New Roman"/>
          <w:sz w:val="24"/>
          <w:szCs w:val="24"/>
          <w:lang w:eastAsia="tr-TR"/>
        </w:rPr>
        <w:t xml:space="preserve">Hükümet, başvurucunun </w:t>
      </w:r>
      <w:proofErr w:type="gramStart"/>
      <w:r w:rsidR="00096981" w:rsidRPr="003D5488">
        <w:rPr>
          <w:rFonts w:ascii="Times New Roman" w:eastAsia="Times New Roman" w:hAnsi="Times New Roman" w:cs="Times New Roman"/>
          <w:sz w:val="24"/>
          <w:szCs w:val="24"/>
          <w:lang w:eastAsia="tr-TR"/>
        </w:rPr>
        <w:t>argümanlarına</w:t>
      </w:r>
      <w:proofErr w:type="gramEnd"/>
      <w:r w:rsidR="00096981" w:rsidRPr="003D5488">
        <w:rPr>
          <w:rFonts w:ascii="Times New Roman" w:eastAsia="Times New Roman" w:hAnsi="Times New Roman" w:cs="Times New Roman"/>
          <w:sz w:val="24"/>
          <w:szCs w:val="24"/>
          <w:lang w:eastAsia="tr-TR"/>
        </w:rPr>
        <w:t xml:space="preserve"> karşı çıkmıştır. </w:t>
      </w:r>
    </w:p>
    <w:p w:rsidR="00B47C83" w:rsidRDefault="00096981" w:rsidP="00724F6F">
      <w:pPr>
        <w:numPr>
          <w:ilvl w:val="0"/>
          <w:numId w:val="2"/>
        </w:numPr>
        <w:shd w:val="clear" w:color="auto" w:fill="FFFFFF"/>
        <w:spacing w:before="100" w:after="240" w:line="276" w:lineRule="auto"/>
        <w:ind w:left="510" w:hanging="330"/>
        <w:jc w:val="both"/>
        <w:rPr>
          <w:rFonts w:ascii="Times New Roman" w:eastAsia="Times New Roman" w:hAnsi="Times New Roman" w:cs="Times New Roman"/>
          <w:b/>
          <w:bCs/>
          <w:sz w:val="24"/>
          <w:szCs w:val="24"/>
          <w:lang w:eastAsia="tr-TR"/>
        </w:rPr>
      </w:pPr>
      <w:r w:rsidRPr="003D5488">
        <w:rPr>
          <w:rFonts w:ascii="Times New Roman" w:eastAsia="Times New Roman" w:hAnsi="Times New Roman" w:cs="Times New Roman"/>
          <w:b/>
          <w:bCs/>
          <w:sz w:val="24"/>
          <w:szCs w:val="24"/>
          <w:lang w:eastAsia="tr-TR"/>
        </w:rPr>
        <w:t xml:space="preserve">Büyük Daire’nin değerlendirmesi </w:t>
      </w:r>
    </w:p>
    <w:p w:rsidR="00096981" w:rsidRPr="00B47C83" w:rsidRDefault="00096981" w:rsidP="00724F6F">
      <w:pPr>
        <w:pStyle w:val="Balk2"/>
        <w:numPr>
          <w:ilvl w:val="1"/>
          <w:numId w:val="2"/>
        </w:numPr>
        <w:tabs>
          <w:tab w:val="clear" w:pos="1440"/>
          <w:tab w:val="num" w:pos="990"/>
        </w:tabs>
        <w:ind w:hanging="900"/>
      </w:pPr>
      <w:r w:rsidRPr="00B47C83">
        <w:rPr>
          <w:rStyle w:val="s6b621b36"/>
        </w:rPr>
        <w:t xml:space="preserve">Kabul Edilebilirlik </w:t>
      </w:r>
    </w:p>
    <w:p w:rsidR="00971FBD" w:rsidRPr="003D5488" w:rsidRDefault="00971FBD" w:rsidP="0060280C">
      <w:pPr>
        <w:pStyle w:val="sbe438969"/>
        <w:shd w:val="clear" w:color="auto" w:fill="FFFFFF"/>
        <w:spacing w:before="0" w:beforeAutospacing="0" w:after="0" w:afterAutospacing="0" w:line="276" w:lineRule="auto"/>
        <w:ind w:firstLine="284"/>
        <w:jc w:val="both"/>
      </w:pPr>
      <w:r w:rsidRPr="003D5488">
        <w:rPr>
          <w:rStyle w:val="s545313ee"/>
        </w:rPr>
        <w:t>366.</w:t>
      </w:r>
      <w:r w:rsidR="00096981" w:rsidRPr="003D5488">
        <w:rPr>
          <w:rStyle w:val="sb8d990e2"/>
        </w:rPr>
        <w:t xml:space="preserve"> Sözleşme’nin 5. maddesinin 4. fıkrasının, </w:t>
      </w:r>
      <w:r w:rsidRPr="003D5488">
        <w:rPr>
          <w:rStyle w:val="sb8d990e2"/>
        </w:rPr>
        <w:t>Türkiye Anayasa Mahkemes</w:t>
      </w:r>
      <w:r w:rsidR="00096981" w:rsidRPr="003D5488">
        <w:rPr>
          <w:rStyle w:val="sb8d990e2"/>
        </w:rPr>
        <w:t>i önünde görülen davalara uygulandığı</w:t>
      </w:r>
      <w:r w:rsidRPr="003D5488">
        <w:rPr>
          <w:i/>
          <w:iCs/>
        </w:rPr>
        <w:t xml:space="preserve"> daha önce Mehmet Hasan Altan</w:t>
      </w:r>
      <w:r w:rsidRPr="003D5488">
        <w:t> (</w:t>
      </w:r>
      <w:r w:rsidR="00DC3A9D" w:rsidRPr="003D5488">
        <w:t>yukarıda anılan</w:t>
      </w:r>
      <w:r w:rsidRPr="003D5488">
        <w:t xml:space="preserve">, § 159) </w:t>
      </w:r>
      <w:r w:rsidR="00DC3A9D" w:rsidRPr="003D5488">
        <w:t xml:space="preserve">ve </w:t>
      </w:r>
      <w:r w:rsidRPr="003D5488">
        <w:rPr>
          <w:i/>
          <w:iCs/>
        </w:rPr>
        <w:t>Şahin Alpay</w:t>
      </w:r>
      <w:r w:rsidRPr="003D5488">
        <w:t> (</w:t>
      </w:r>
      <w:r w:rsidR="00DC3A9D" w:rsidRPr="003D5488">
        <w:t>yukarıda anılan</w:t>
      </w:r>
      <w:r w:rsidRPr="003D5488">
        <w:t xml:space="preserve">, § 131) kararlarında belirtilmişti. </w:t>
      </w:r>
    </w:p>
    <w:p w:rsidR="00096981" w:rsidRPr="003D5488" w:rsidRDefault="00971FBD" w:rsidP="0060280C">
      <w:pPr>
        <w:pStyle w:val="sbe438969"/>
        <w:shd w:val="clear" w:color="auto" w:fill="FFFFFF"/>
        <w:spacing w:before="0" w:beforeAutospacing="0" w:after="0" w:afterAutospacing="0" w:line="276" w:lineRule="auto"/>
        <w:ind w:firstLine="284"/>
        <w:jc w:val="both"/>
      </w:pPr>
      <w:r w:rsidRPr="003D5488">
        <w:lastRenderedPageBreak/>
        <w:t xml:space="preserve">367. </w:t>
      </w:r>
      <w:r w:rsidRPr="003D5488">
        <w:rPr>
          <w:rStyle w:val="sb8d990e2"/>
        </w:rPr>
        <w:t xml:space="preserve">Mahkeme bu şikâyetin, Sözleşme’nin 35. maddesinin 3. fıkrasının a bendi uyarınca açıkça dayanaktan yoksun olmadığını ve öte yandan, herhangi bir kabul edilemezlik </w:t>
      </w:r>
      <w:proofErr w:type="gramStart"/>
      <w:r w:rsidRPr="003D5488">
        <w:rPr>
          <w:rStyle w:val="sb8d990e2"/>
        </w:rPr>
        <w:t>kriteriyle</w:t>
      </w:r>
      <w:proofErr w:type="gramEnd"/>
      <w:r w:rsidRPr="003D5488">
        <w:rPr>
          <w:rStyle w:val="sb8d990e2"/>
        </w:rPr>
        <w:t xml:space="preserve"> örtüşmediğini not etmektedir. </w:t>
      </w:r>
      <w:r w:rsidR="007E3DD1" w:rsidRPr="003D5488">
        <w:rPr>
          <w:rStyle w:val="sb8d990e2"/>
        </w:rPr>
        <w:t>Şikâyet</w:t>
      </w:r>
      <w:r w:rsidRPr="003D5488">
        <w:rPr>
          <w:rStyle w:val="sb8d990e2"/>
        </w:rPr>
        <w:t>in kabul edilebilir olduğuna karar vermektedir.</w:t>
      </w:r>
    </w:p>
    <w:p w:rsidR="00193356" w:rsidRPr="00B47C83" w:rsidRDefault="00971FBD" w:rsidP="00724F6F">
      <w:pPr>
        <w:pStyle w:val="ListeParagraf"/>
        <w:numPr>
          <w:ilvl w:val="1"/>
          <w:numId w:val="2"/>
        </w:numPr>
        <w:shd w:val="clear" w:color="auto" w:fill="FFFFFF"/>
        <w:tabs>
          <w:tab w:val="clear" w:pos="1440"/>
          <w:tab w:val="num" w:pos="990"/>
        </w:tabs>
        <w:spacing w:before="100" w:after="120" w:line="276" w:lineRule="auto"/>
        <w:ind w:hanging="900"/>
        <w:jc w:val="both"/>
        <w:rPr>
          <w:rFonts w:ascii="Times New Roman" w:eastAsia="Times New Roman" w:hAnsi="Times New Roman" w:cs="Times New Roman"/>
          <w:i/>
          <w:iCs/>
          <w:sz w:val="24"/>
          <w:szCs w:val="24"/>
          <w:lang w:eastAsia="tr-TR"/>
        </w:rPr>
      </w:pPr>
      <w:r w:rsidRPr="00B47C83">
        <w:rPr>
          <w:rFonts w:ascii="Times New Roman" w:eastAsia="Times New Roman" w:hAnsi="Times New Roman" w:cs="Times New Roman"/>
          <w:i/>
          <w:iCs/>
          <w:sz w:val="24"/>
          <w:szCs w:val="24"/>
          <w:lang w:eastAsia="tr-TR"/>
        </w:rPr>
        <w:t>Esas</w:t>
      </w:r>
    </w:p>
    <w:p w:rsidR="00176978" w:rsidRPr="003D5488" w:rsidRDefault="00193356" w:rsidP="0060280C">
      <w:pPr>
        <w:shd w:val="clear" w:color="auto" w:fill="FFFFFF"/>
        <w:spacing w:after="0" w:line="276" w:lineRule="auto"/>
        <w:ind w:firstLine="284"/>
        <w:jc w:val="both"/>
        <w:rPr>
          <w:rStyle w:val="sb8d990e2"/>
          <w:rFonts w:ascii="Times New Roman" w:hAnsi="Times New Roman" w:cs="Times New Roman"/>
          <w:sz w:val="24"/>
          <w:szCs w:val="24"/>
          <w:shd w:val="clear" w:color="auto" w:fill="FFFFFF"/>
        </w:rPr>
      </w:pPr>
      <w:r w:rsidRPr="003D5488">
        <w:rPr>
          <w:rFonts w:ascii="Times New Roman" w:eastAsia="Times New Roman" w:hAnsi="Times New Roman" w:cs="Times New Roman"/>
          <w:sz w:val="24"/>
          <w:szCs w:val="24"/>
          <w:lang w:eastAsia="tr-TR"/>
        </w:rPr>
        <w:t>368.  </w:t>
      </w:r>
      <w:r w:rsidR="00176978" w:rsidRPr="003D5488">
        <w:rPr>
          <w:rStyle w:val="sb8d990e2"/>
          <w:rFonts w:ascii="Times New Roman" w:hAnsi="Times New Roman" w:cs="Times New Roman"/>
          <w:sz w:val="24"/>
          <w:szCs w:val="24"/>
          <w:shd w:val="clear" w:color="auto" w:fill="FFFFFF"/>
        </w:rPr>
        <w:t>Mahkeme, Sözleşme’nin 5. maddesinin 4. fıkrası uyarınca “süratle” karar verme gerekliliği ile ilgili içtihadından doğan ilkeleri hatırlatmaktadır; bu ilkeler bilhassa </w:t>
      </w:r>
      <w:proofErr w:type="spellStart"/>
      <w:r w:rsidR="00176978" w:rsidRPr="003D5488">
        <w:rPr>
          <w:rFonts w:ascii="Times New Roman" w:eastAsia="Times New Roman" w:hAnsi="Times New Roman" w:cs="Times New Roman"/>
          <w:i/>
          <w:iCs/>
          <w:sz w:val="24"/>
          <w:szCs w:val="24"/>
          <w:lang w:eastAsia="tr-TR"/>
        </w:rPr>
        <w:t>Ilnseher</w:t>
      </w:r>
      <w:proofErr w:type="spellEnd"/>
      <w:r w:rsidR="00176978" w:rsidRPr="003D5488">
        <w:rPr>
          <w:rFonts w:ascii="Times New Roman" w:eastAsia="Times New Roman" w:hAnsi="Times New Roman" w:cs="Times New Roman"/>
          <w:i/>
          <w:iCs/>
          <w:sz w:val="24"/>
          <w:szCs w:val="24"/>
          <w:lang w:eastAsia="tr-TR"/>
        </w:rPr>
        <w:t xml:space="preserve"> v. </w:t>
      </w:r>
      <w:r w:rsidR="009A1EB5" w:rsidRPr="003D5488">
        <w:rPr>
          <w:rFonts w:ascii="Times New Roman" w:eastAsia="Times New Roman" w:hAnsi="Times New Roman" w:cs="Times New Roman"/>
          <w:i/>
          <w:iCs/>
          <w:sz w:val="24"/>
          <w:szCs w:val="24"/>
          <w:lang w:eastAsia="tr-TR"/>
        </w:rPr>
        <w:t>Almanya</w:t>
      </w:r>
      <w:r w:rsidR="00176978" w:rsidRPr="003D5488">
        <w:rPr>
          <w:rFonts w:ascii="Times New Roman" w:eastAsia="Times New Roman" w:hAnsi="Times New Roman" w:cs="Times New Roman"/>
          <w:i/>
          <w:iCs/>
          <w:sz w:val="24"/>
          <w:szCs w:val="24"/>
          <w:lang w:eastAsia="tr-TR"/>
        </w:rPr>
        <w:t> </w:t>
      </w:r>
      <w:r w:rsidR="009A1EB5" w:rsidRPr="003D5488">
        <w:rPr>
          <w:rFonts w:ascii="Times New Roman" w:eastAsia="Times New Roman" w:hAnsi="Times New Roman" w:cs="Times New Roman"/>
          <w:sz w:val="24"/>
          <w:szCs w:val="24"/>
          <w:lang w:eastAsia="tr-TR"/>
        </w:rPr>
        <w:t>[BD</w:t>
      </w:r>
      <w:r w:rsidR="00DC3A9D" w:rsidRPr="003D5488">
        <w:rPr>
          <w:rFonts w:ascii="Times New Roman" w:eastAsia="Times New Roman" w:hAnsi="Times New Roman" w:cs="Times New Roman"/>
          <w:sz w:val="24"/>
          <w:szCs w:val="24"/>
          <w:lang w:eastAsia="tr-TR"/>
        </w:rPr>
        <w:t xml:space="preserve">], </w:t>
      </w:r>
      <w:proofErr w:type="spellStart"/>
      <w:r w:rsidR="00DC3A9D" w:rsidRPr="003D5488">
        <w:rPr>
          <w:rFonts w:ascii="Times New Roman" w:eastAsia="Times New Roman" w:hAnsi="Times New Roman" w:cs="Times New Roman"/>
          <w:sz w:val="24"/>
          <w:szCs w:val="24"/>
          <w:lang w:eastAsia="tr-TR"/>
        </w:rPr>
        <w:t>no</w:t>
      </w:r>
      <w:proofErr w:type="spellEnd"/>
      <w:r w:rsidR="00176978" w:rsidRPr="00B47C83">
        <w:rPr>
          <w:rFonts w:ascii="Times New Roman" w:eastAsia="Times New Roman" w:hAnsi="Times New Roman" w:cs="Times New Roman"/>
          <w:sz w:val="24"/>
          <w:szCs w:val="24"/>
          <w:lang w:eastAsia="tr-TR"/>
        </w:rPr>
        <w:t>. 10211/12 </w:t>
      </w:r>
      <w:r w:rsidR="009A1EB5" w:rsidRPr="00B47C83">
        <w:rPr>
          <w:rFonts w:ascii="Times New Roman" w:eastAsia="Times New Roman" w:hAnsi="Times New Roman" w:cs="Times New Roman"/>
          <w:sz w:val="24"/>
          <w:szCs w:val="24"/>
          <w:lang w:eastAsia="tr-TR"/>
        </w:rPr>
        <w:t>ve</w:t>
      </w:r>
      <w:r w:rsidR="00176978" w:rsidRPr="00B47C83">
        <w:rPr>
          <w:rFonts w:ascii="Times New Roman" w:eastAsia="Times New Roman" w:hAnsi="Times New Roman" w:cs="Times New Roman"/>
          <w:sz w:val="24"/>
          <w:szCs w:val="24"/>
          <w:lang w:eastAsia="tr-TR"/>
        </w:rPr>
        <w:t> 27505/14, §§</w:t>
      </w:r>
      <w:r w:rsidR="00176978" w:rsidRPr="003D5488">
        <w:rPr>
          <w:rFonts w:ascii="Times New Roman" w:eastAsia="Times New Roman" w:hAnsi="Times New Roman" w:cs="Times New Roman"/>
          <w:sz w:val="24"/>
          <w:szCs w:val="24"/>
          <w:lang w:eastAsia="tr-TR"/>
        </w:rPr>
        <w:t xml:space="preserve"> 251-56, 4 </w:t>
      </w:r>
      <w:r w:rsidR="009A1EB5" w:rsidRPr="003D5488">
        <w:rPr>
          <w:rFonts w:ascii="Times New Roman" w:eastAsia="Times New Roman" w:hAnsi="Times New Roman" w:cs="Times New Roman"/>
          <w:sz w:val="24"/>
          <w:szCs w:val="24"/>
          <w:lang w:eastAsia="tr-TR"/>
        </w:rPr>
        <w:t>Aralık</w:t>
      </w:r>
      <w:r w:rsidR="00176978" w:rsidRPr="003D5488">
        <w:rPr>
          <w:rFonts w:ascii="Times New Roman" w:eastAsia="Times New Roman" w:hAnsi="Times New Roman" w:cs="Times New Roman"/>
          <w:sz w:val="24"/>
          <w:szCs w:val="24"/>
          <w:lang w:eastAsia="tr-TR"/>
        </w:rPr>
        <w:t xml:space="preserve"> 2018)</w:t>
      </w:r>
      <w:r w:rsidR="009A1EB5" w:rsidRPr="003D5488">
        <w:rPr>
          <w:rFonts w:ascii="Times New Roman" w:eastAsia="Times New Roman" w:hAnsi="Times New Roman" w:cs="Times New Roman"/>
          <w:sz w:val="24"/>
          <w:szCs w:val="24"/>
          <w:lang w:eastAsia="tr-TR"/>
        </w:rPr>
        <w:t xml:space="preserve"> </w:t>
      </w:r>
      <w:r w:rsidR="00176978" w:rsidRPr="003D5488">
        <w:rPr>
          <w:rFonts w:ascii="Times New Roman" w:eastAsia="Times New Roman" w:hAnsi="Times New Roman" w:cs="Times New Roman"/>
          <w:sz w:val="24"/>
          <w:szCs w:val="24"/>
          <w:lang w:eastAsia="tr-TR"/>
        </w:rPr>
        <w:t xml:space="preserve">ve </w:t>
      </w:r>
      <w:r w:rsidR="00176978" w:rsidRPr="003D5488">
        <w:rPr>
          <w:rFonts w:ascii="Times New Roman" w:eastAsia="Times New Roman" w:hAnsi="Times New Roman" w:cs="Times New Roman"/>
          <w:i/>
          <w:iCs/>
          <w:sz w:val="24"/>
          <w:szCs w:val="24"/>
          <w:lang w:eastAsia="tr-TR"/>
        </w:rPr>
        <w:t>Kavala </w:t>
      </w:r>
      <w:r w:rsidR="00176978" w:rsidRPr="003D5488">
        <w:rPr>
          <w:rFonts w:ascii="Times New Roman" w:eastAsia="Times New Roman" w:hAnsi="Times New Roman" w:cs="Times New Roman"/>
          <w:sz w:val="24"/>
          <w:szCs w:val="24"/>
          <w:lang w:eastAsia="tr-TR"/>
        </w:rPr>
        <w:t>(</w:t>
      </w:r>
      <w:r w:rsidR="009A1EB5" w:rsidRPr="003D5488">
        <w:rPr>
          <w:rFonts w:ascii="Times New Roman" w:eastAsia="Times New Roman" w:hAnsi="Times New Roman" w:cs="Times New Roman"/>
          <w:sz w:val="24"/>
          <w:szCs w:val="24"/>
          <w:lang w:eastAsia="tr-TR"/>
        </w:rPr>
        <w:t>yukarıda atıf yapılan</w:t>
      </w:r>
      <w:r w:rsidR="00176978" w:rsidRPr="003D5488">
        <w:rPr>
          <w:rFonts w:ascii="Times New Roman" w:eastAsia="Times New Roman" w:hAnsi="Times New Roman" w:cs="Times New Roman"/>
          <w:sz w:val="24"/>
          <w:szCs w:val="24"/>
          <w:lang w:eastAsia="tr-TR"/>
        </w:rPr>
        <w:t>, §§ 176-84)</w:t>
      </w:r>
      <w:r w:rsidR="009A1EB5" w:rsidRPr="003D5488">
        <w:rPr>
          <w:rFonts w:ascii="Times New Roman" w:eastAsia="Times New Roman" w:hAnsi="Times New Roman" w:cs="Times New Roman"/>
          <w:sz w:val="24"/>
          <w:szCs w:val="24"/>
          <w:lang w:eastAsia="tr-TR"/>
        </w:rPr>
        <w:t xml:space="preserve"> </w:t>
      </w:r>
      <w:r w:rsidR="00176978" w:rsidRPr="003D5488">
        <w:rPr>
          <w:rStyle w:val="sb8d990e2"/>
          <w:rFonts w:ascii="Times New Roman" w:hAnsi="Times New Roman" w:cs="Times New Roman"/>
          <w:sz w:val="24"/>
          <w:szCs w:val="24"/>
          <w:shd w:val="clear" w:color="auto" w:fill="FFFFFF"/>
        </w:rPr>
        <w:t xml:space="preserve">kararlarında özetlenmektedir. Mahkeme ayrıca, 15 Temmuz 2016 tarihli darbe girişiminin ardından </w:t>
      </w:r>
      <w:r w:rsidR="009A1EB5" w:rsidRPr="003D5488">
        <w:rPr>
          <w:rStyle w:val="sb8d990e2"/>
          <w:rFonts w:ascii="Times New Roman" w:hAnsi="Times New Roman" w:cs="Times New Roman"/>
          <w:sz w:val="24"/>
          <w:szCs w:val="24"/>
          <w:shd w:val="clear" w:color="auto" w:fill="FFFFFF"/>
        </w:rPr>
        <w:t xml:space="preserve">Türkiye Anayasa Mahkemesi önündeki yargılamanın süresine ilişkin </w:t>
      </w:r>
      <w:r w:rsidR="009A1EB5" w:rsidRPr="003D5488">
        <w:rPr>
          <w:rStyle w:val="s6b621b36"/>
          <w:rFonts w:ascii="Times New Roman" w:hAnsi="Times New Roman" w:cs="Times New Roman"/>
          <w:i/>
          <w:iCs/>
          <w:sz w:val="24"/>
          <w:szCs w:val="24"/>
          <w:shd w:val="clear" w:color="auto" w:fill="FFFFFF"/>
        </w:rPr>
        <w:t>Mehmet Hasan Altan </w:t>
      </w:r>
      <w:r w:rsidR="009A1EB5" w:rsidRPr="003D5488">
        <w:rPr>
          <w:rStyle w:val="sb8d990e2"/>
          <w:rFonts w:ascii="Times New Roman" w:hAnsi="Times New Roman" w:cs="Times New Roman"/>
          <w:sz w:val="24"/>
          <w:szCs w:val="24"/>
          <w:shd w:val="clear" w:color="auto" w:fill="FFFFFF"/>
        </w:rPr>
        <w:t>(yukarıda anılan, §§ 161-163) ve </w:t>
      </w:r>
      <w:r w:rsidR="009A1EB5" w:rsidRPr="003D5488">
        <w:rPr>
          <w:rStyle w:val="s6b621b36"/>
          <w:rFonts w:ascii="Times New Roman" w:hAnsi="Times New Roman" w:cs="Times New Roman"/>
          <w:i/>
          <w:iCs/>
          <w:sz w:val="24"/>
          <w:szCs w:val="24"/>
          <w:shd w:val="clear" w:color="auto" w:fill="FFFFFF"/>
        </w:rPr>
        <w:t>Şahin Alpay </w:t>
      </w:r>
      <w:r w:rsidR="009A1EB5" w:rsidRPr="003D5488">
        <w:rPr>
          <w:rStyle w:val="sb8d990e2"/>
          <w:rFonts w:ascii="Times New Roman" w:hAnsi="Times New Roman" w:cs="Times New Roman"/>
          <w:sz w:val="24"/>
          <w:szCs w:val="24"/>
          <w:shd w:val="clear" w:color="auto" w:fill="FFFFFF"/>
        </w:rPr>
        <w:t xml:space="preserve">(yukarıda anılan, §§ 133-135) kararlarında vardığı tespitlere atıf yapmaktadır. </w:t>
      </w:r>
    </w:p>
    <w:p w:rsidR="009A1EB5" w:rsidRPr="003D5488" w:rsidRDefault="009A1EB5" w:rsidP="0060280C">
      <w:pPr>
        <w:shd w:val="clear" w:color="auto" w:fill="FFFFFF"/>
        <w:spacing w:after="0" w:line="276" w:lineRule="auto"/>
        <w:ind w:firstLine="284"/>
        <w:jc w:val="both"/>
        <w:rPr>
          <w:rStyle w:val="sb8d990e2"/>
          <w:rFonts w:ascii="Times New Roman" w:hAnsi="Times New Roman" w:cs="Times New Roman"/>
          <w:sz w:val="24"/>
          <w:szCs w:val="24"/>
          <w:shd w:val="clear" w:color="auto" w:fill="FFFFFF"/>
        </w:rPr>
      </w:pPr>
      <w:r w:rsidRPr="003D5488">
        <w:rPr>
          <w:rStyle w:val="sb8d990e2"/>
          <w:rFonts w:ascii="Times New Roman" w:hAnsi="Times New Roman" w:cs="Times New Roman"/>
          <w:sz w:val="24"/>
          <w:szCs w:val="24"/>
          <w:shd w:val="clear" w:color="auto" w:fill="FFFFFF"/>
        </w:rPr>
        <w:t>369. Mahkeme, Daire kararındaki tespitlerine yer vermektedir:</w:t>
      </w:r>
    </w:p>
    <w:p w:rsidR="009A1EB5" w:rsidRPr="003D5488" w:rsidRDefault="009A1EB5" w:rsidP="0060280C">
      <w:pPr>
        <w:pStyle w:val="sbe438969"/>
        <w:shd w:val="clear" w:color="auto" w:fill="FFFFFF"/>
        <w:spacing w:before="0" w:beforeAutospacing="0" w:after="0" w:afterAutospacing="0" w:line="276" w:lineRule="auto"/>
        <w:ind w:firstLine="284"/>
        <w:jc w:val="both"/>
      </w:pPr>
      <w:r w:rsidRPr="003D5488">
        <w:rPr>
          <w:rStyle w:val="sb8d990e2"/>
          <w:shd w:val="clear" w:color="auto" w:fill="FFFFFF"/>
        </w:rPr>
        <w:t>“</w:t>
      </w:r>
      <w:r w:rsidRPr="003D5488">
        <w:t xml:space="preserve">214. Mahkeme ayrıca, bu davalarda, Türk hukuk sisteminde, tutuklanan kişilerin, soruşturmanın ve yargılamanın her aşamasında serbest bırakılmalarını talep etme imkânına sahip olduklarını ve taleplerinin reddedilmesi durumunda, itirazda bulunabileceklerini kaydettiğini hatırlatmaktadır. Üstelik tutukluların tutukluluk hallerinin devamı hususunun, otuz günü aşmamak suretiyle düzenli aralıklarla </w:t>
      </w:r>
      <w:proofErr w:type="spellStart"/>
      <w:r w:rsidRPr="003D5488">
        <w:t>re’sen</w:t>
      </w:r>
      <w:proofErr w:type="spellEnd"/>
      <w:r w:rsidRPr="003D5488">
        <w:t xml:space="preserve"> incelendiğini de tespit etmiştir (yukarıda 103. paragraf). Bu nedenle, Anayasa Mahkemesi, kendi önündeki incelemenin fazla zaman almasının kabul edilebilir olduğu kanaatine varmıştır. Bunun yanı sıra, Anayasa Mahkemesi önünde dikkate alınacak sürenin, yukarıda anılan </w:t>
      </w:r>
      <w:r w:rsidRPr="003D5488">
        <w:rPr>
          <w:i/>
          <w:iCs/>
        </w:rPr>
        <w:t>Mehmet Hasan Altan</w:t>
      </w:r>
      <w:r w:rsidRPr="003D5488">
        <w:t> davasında on dört ay üç gün; yukarıda anılan </w:t>
      </w:r>
      <w:r w:rsidRPr="003D5488">
        <w:rPr>
          <w:i/>
          <w:iCs/>
        </w:rPr>
        <w:t>Şahin Alpay</w:t>
      </w:r>
      <w:r w:rsidRPr="003D5488">
        <w:t> davasında ise on altı ay üç gündür. Mahkeme, başvuruların karmaşıklığını ve Anayasa Mahkemesinin olağanüstü hal ilan edilmesi sonrasındaki iş yükünü göz önünde bulundurarak, bunun istisnai bir durum olduğu kanaatine varmıştır. Bu nedenle, Anayasa Mahkemesi önünde geçen on dört ay üç günlük ve on altı ay üç günlük sürelerin “kısa” olarak değerlendirilemeyecek olmasına rağmen, bu davaların kendilerine özgü koşullarında, Mahkeme, Sözleşme’nin 5. maddesinin 4. fıkrasının ihlal edilmediği sonucuna varmıştır.</w:t>
      </w:r>
    </w:p>
    <w:p w:rsidR="009A1EB5" w:rsidRPr="003D5488" w:rsidRDefault="009A1EB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215. Mahkeme, bu sonuçların, mevcut başvuru kapsamında da geçerli olduğu kanısındadır. Mahkeme bu bağlamda, başvuran tarafından Anayasa Mahkemesine yapılan başvurunun, bir milletvekilinin, dokunulmazlığının kaldırılması sonrasında tutuklanması ile ilgili karmaşık meseleler gündeme </w:t>
      </w:r>
      <w:r w:rsidRPr="003D5488">
        <w:rPr>
          <w:rFonts w:ascii="Times New Roman" w:eastAsia="Times New Roman" w:hAnsi="Times New Roman" w:cs="Times New Roman"/>
          <w:sz w:val="24"/>
          <w:szCs w:val="24"/>
          <w:lang w:eastAsia="tr-TR"/>
        </w:rPr>
        <w:lastRenderedPageBreak/>
        <w:t>getiren türden ilk davalardan biri olması nedeniyle karmaşık olduğunun altını çizmektedir. Ayrıca, 2016 yılının Temmuz ayında olağanüstü hal ilan edilmesi sonrasında Anayasa Mahkemesinin istisnai iş yükünü dikkate almanın da gerekli olduğu kanaatine varmaktadır (yukarıda anılan </w:t>
      </w:r>
      <w:r w:rsidRPr="003D5488">
        <w:rPr>
          <w:rFonts w:ascii="Times New Roman" w:eastAsia="Times New Roman" w:hAnsi="Times New Roman" w:cs="Times New Roman"/>
          <w:i/>
          <w:iCs/>
          <w:sz w:val="24"/>
          <w:szCs w:val="24"/>
          <w:lang w:eastAsia="tr-TR"/>
        </w:rPr>
        <w:t>Mehmet Hasan Altan</w:t>
      </w:r>
      <w:r w:rsidRPr="003D5488">
        <w:rPr>
          <w:rFonts w:ascii="Times New Roman" w:eastAsia="Times New Roman" w:hAnsi="Times New Roman" w:cs="Times New Roman"/>
          <w:sz w:val="24"/>
          <w:szCs w:val="24"/>
          <w:lang w:eastAsia="tr-TR"/>
        </w:rPr>
        <w:t> kararı, § 165 ve yukarıda anılan </w:t>
      </w:r>
      <w:r w:rsidRPr="003D5488">
        <w:rPr>
          <w:rFonts w:ascii="Times New Roman" w:eastAsia="Times New Roman" w:hAnsi="Times New Roman" w:cs="Times New Roman"/>
          <w:i/>
          <w:iCs/>
          <w:sz w:val="24"/>
          <w:szCs w:val="24"/>
          <w:lang w:eastAsia="tr-TR"/>
        </w:rPr>
        <w:t>Şahin Alpay</w:t>
      </w:r>
      <w:r w:rsidRPr="003D5488">
        <w:rPr>
          <w:rFonts w:ascii="Times New Roman" w:eastAsia="Times New Roman" w:hAnsi="Times New Roman" w:cs="Times New Roman"/>
          <w:sz w:val="24"/>
          <w:szCs w:val="24"/>
          <w:lang w:eastAsia="tr-TR"/>
        </w:rPr>
        <w:t> kararı, § 137). Somut olayda, başvuranın, 17 Kasım 2016 tarihinde Anayasa Mahkemesine bireysel başvuruda bulunduğunu ve bu mahkemenin nihai kararını 21 Aralık 2017 tarihinde verdiğini gözlemlemektedir. Dolayısıyla, dikkate alınacak sürenin, on üç ay dört gün sürdüğünü kaydetmektedir.</w:t>
      </w:r>
    </w:p>
    <w:p w:rsidR="009A1EB5" w:rsidRPr="003D5488" w:rsidRDefault="009A1EB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216. Yukarıda belirtilen hususlar ışığında, Anayasa Mahkemesi önünde geçen on üç ay dört günlük sürenin “kısa” olarak değerlendirilemeyecek olmasına rağmen, Mahkeme,</w:t>
      </w:r>
      <w:r w:rsidR="00371DA2" w:rsidRPr="003D5488">
        <w:rPr>
          <w:rFonts w:ascii="Times New Roman" w:eastAsia="Times New Roman" w:hAnsi="Times New Roman" w:cs="Times New Roman"/>
          <w:sz w:val="24"/>
          <w:szCs w:val="24"/>
          <w:lang w:eastAsia="tr-TR"/>
        </w:rPr>
        <w:t xml:space="preserve"> </w:t>
      </w:r>
      <w:r w:rsidRPr="003D5488">
        <w:rPr>
          <w:rFonts w:ascii="Times New Roman" w:eastAsia="Times New Roman" w:hAnsi="Times New Roman" w:cs="Times New Roman"/>
          <w:sz w:val="24"/>
          <w:szCs w:val="24"/>
          <w:lang w:eastAsia="tr-TR"/>
        </w:rPr>
        <w:t>davanın kendine özgü koşullarında, Sözleşme’nin 5. maddesinin 4. fıkrasının ihlal edilmediği sonucuna varmaktadır.”</w:t>
      </w:r>
    </w:p>
    <w:p w:rsidR="00371DA2" w:rsidRPr="003D5488" w:rsidRDefault="009A1EB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370.  </w:t>
      </w:r>
      <w:r w:rsidR="00371DA2" w:rsidRPr="003D5488">
        <w:rPr>
          <w:rFonts w:ascii="Times New Roman" w:eastAsia="Times New Roman" w:hAnsi="Times New Roman" w:cs="Times New Roman"/>
          <w:sz w:val="24"/>
          <w:szCs w:val="24"/>
          <w:lang w:eastAsia="tr-TR"/>
        </w:rPr>
        <w:t xml:space="preserve">Büyük Daire, Daire’nin gerekçesini ve sonucunu takip etmektedir. Bu nedenle, Sözleşme’nin 5. maddesinin 4. fıkrasının ihlal edilmediği sonucuna varılmıştır. </w:t>
      </w:r>
    </w:p>
    <w:p w:rsidR="00683825" w:rsidRPr="003D5488" w:rsidRDefault="0068382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5B5EC2" w:rsidRPr="00B47C83" w:rsidRDefault="005B5EC2" w:rsidP="00B47C83">
      <w:pPr>
        <w:pStyle w:val="Balk1"/>
        <w:rPr>
          <w:noProof/>
        </w:rPr>
      </w:pPr>
      <w:r w:rsidRPr="003D5488">
        <w:rPr>
          <w:noProof/>
        </w:rPr>
        <w:t xml:space="preserve">SÖZLEŞME'YE EK 1 NUMARALI PROTOKOL'ÜN 3. MADDESİNİN İHLAL EDİLDİĞİ İDDİASI </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371.   Başvurucu, tutukluluğunun, Sözleşme'ye Ek 1 Numaralı Protokol'ün 3. maddesinin ihlali anlamına geldiğinden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çi olmuştur:</w:t>
      </w:r>
    </w:p>
    <w:p w:rsidR="005B5EC2" w:rsidRPr="0015092C" w:rsidRDefault="005B5EC2" w:rsidP="005B5EC2">
      <w:pPr>
        <w:pStyle w:val="JuQuot"/>
        <w:rPr>
          <w:rFonts w:ascii="Times New Roman" w:hAnsi="Times New Roman" w:cs="Times New Roman"/>
          <w:noProof/>
          <w:sz w:val="22"/>
          <w:lang w:val="tr-TR"/>
        </w:rPr>
      </w:pPr>
      <w:r w:rsidRPr="0015092C">
        <w:rPr>
          <w:rFonts w:ascii="Times New Roman" w:hAnsi="Times New Roman" w:cs="Times New Roman"/>
          <w:noProof/>
          <w:sz w:val="22"/>
          <w:lang w:val="tr-TR"/>
        </w:rPr>
        <w:t>“Yüksek Sözleşmeci Taraflar, yasama organının seçilmesinde halkın kanaatlerinin özgürce açıklanmasını sağlayacak şartlar içinde, makul aralıklarla, gizli oyla serbest seçimler yapmayı taahhüt ederler.”</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372.  Hükümet, bu iddiaya itiraz etmiştir.</w:t>
      </w:r>
    </w:p>
    <w:p w:rsidR="005B5EC2" w:rsidRPr="0015092C" w:rsidRDefault="005B5EC2" w:rsidP="00724F6F">
      <w:pPr>
        <w:pStyle w:val="JuHA"/>
        <w:numPr>
          <w:ilvl w:val="0"/>
          <w:numId w:val="22"/>
        </w:numPr>
        <w:rPr>
          <w:b/>
          <w:noProof/>
          <w:sz w:val="24"/>
          <w:lang w:val="tr-TR"/>
        </w:rPr>
      </w:pPr>
      <w:r w:rsidRPr="0015092C">
        <w:rPr>
          <w:b/>
          <w:noProof/>
          <w:sz w:val="24"/>
          <w:lang w:val="tr-TR"/>
        </w:rPr>
        <w:t>Daire kararı</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373.  Daire, başvurucunun görev süresinin bir yıl, yedi ay ve yirmi günü boyunca Millet Meclisi çalışmalarına katılamadığını gözlemlemiştir. Avrupa İnsan Hakları Sözleşmesi’nin 5. maddesinin 3. fıkrası uyarınca, yerel mahkemelerin tutukluluğun süresini uzatmak için yeterli gerekçeler sunmadıkları sonucuna atıfta bulunduktan sonra Daire, ayrıca, kendisinin sadece milletvekili değil, aynı zamanda meclis görevlerini yerine getirmesi yüksek düzeyde koruma gerektiren bir muhalefet partisinin liderlerinden biri olduğu gerçeğinin yeterince dikkate alınmadığını tespit etmiştir. Bu nedenle, Sözleşme’ye Ek1 Numaralı Protokol'ün 3. maddesinin ihlal edildiğine karar vermiştir.</w:t>
      </w:r>
    </w:p>
    <w:p w:rsidR="005B5EC2" w:rsidRPr="0015092C" w:rsidRDefault="005B5EC2" w:rsidP="00724F6F">
      <w:pPr>
        <w:pStyle w:val="JuHA"/>
        <w:numPr>
          <w:ilvl w:val="0"/>
          <w:numId w:val="22"/>
        </w:numPr>
        <w:rPr>
          <w:b/>
          <w:noProof/>
          <w:sz w:val="24"/>
          <w:lang w:val="tr-TR"/>
        </w:rPr>
      </w:pPr>
      <w:r w:rsidRPr="0015092C">
        <w:rPr>
          <w:b/>
          <w:noProof/>
          <w:sz w:val="24"/>
          <w:lang w:val="tr-TR"/>
        </w:rPr>
        <w:lastRenderedPageBreak/>
        <w:t>Tarafların beyanları</w:t>
      </w:r>
    </w:p>
    <w:p w:rsidR="005B5EC2" w:rsidRPr="003D5488" w:rsidRDefault="005B5EC2" w:rsidP="00724F6F">
      <w:pPr>
        <w:pStyle w:val="Balk2"/>
        <w:numPr>
          <w:ilvl w:val="3"/>
          <w:numId w:val="22"/>
        </w:numPr>
        <w:ind w:left="720"/>
        <w:rPr>
          <w:noProof/>
          <w:color w:val="auto"/>
        </w:rPr>
      </w:pPr>
      <w:r w:rsidRPr="003D5488">
        <w:rPr>
          <w:noProof/>
          <w:color w:val="auto"/>
        </w:rPr>
        <w:t>Başvurucu</w:t>
      </w:r>
    </w:p>
    <w:p w:rsidR="0015092C" w:rsidRDefault="005B5EC2" w:rsidP="00350CA9">
      <w:pPr>
        <w:pStyle w:val="JuPara"/>
        <w:rPr>
          <w:rFonts w:ascii="Times New Roman" w:hAnsi="Times New Roman" w:cs="Times New Roman"/>
          <w:noProof/>
          <w:lang w:val="tr-TR"/>
        </w:rPr>
      </w:pPr>
      <w:bookmarkStart w:id="36" w:name="applicantsubmissionsa3p1"/>
      <w:r w:rsidRPr="003D5488">
        <w:rPr>
          <w:rFonts w:ascii="Times New Roman" w:hAnsi="Times New Roman" w:cs="Times New Roman"/>
          <w:noProof/>
          <w:lang w:val="tr-TR"/>
        </w:rPr>
        <w:t>374</w:t>
      </w:r>
      <w:bookmarkEnd w:id="36"/>
      <w:r w:rsidRPr="003D5488">
        <w:rPr>
          <w:rFonts w:ascii="Times New Roman" w:hAnsi="Times New Roman" w:cs="Times New Roman"/>
          <w:noProof/>
          <w:lang w:val="tr-TR"/>
        </w:rPr>
        <w:t xml:space="preserve">.  Başvurucu, tutukluluğunun siyasi bir amaç taşıdığını ve Sözleşme’ye Ek 1 Numaralı Protokol’ün 3. maddesini ihlal ettiğini iddia etmiştir. Serbest seçim hakkının koruduğu şeyin yalnızca milletvekili seçilme hakkı olmadığını; söz konusu maddenin aynı zamanda bu sıfatla siyasi faaliyetlerde bulunma hakkını da kapsadığını ifade etmiştir. Öyle ki, milletvekili seçimlerinde aday olma hakkından bir kişi herhangi bir zamanda keyfi olarak mahrum bırakılabilseydi, bu hak hayali bir hak olurdu. Özellikle, tutukluluğunun başlangıç noktası olan 4 Kasım 2016'dan itibaren, başvurucu özgürlüğünden mahrum bırakıldığı için Millet Meclisi faaliyetlerine katılma </w:t>
      </w:r>
      <w:r w:rsidR="00DA1D16">
        <w:rPr>
          <w:rFonts w:ascii="Times New Roman" w:hAnsi="Times New Roman" w:cs="Times New Roman"/>
          <w:noProof/>
          <w:lang w:val="tr-TR"/>
        </w:rPr>
        <w:t>imkân</w:t>
      </w:r>
      <w:r w:rsidRPr="003D5488">
        <w:rPr>
          <w:rFonts w:ascii="Times New Roman" w:hAnsi="Times New Roman" w:cs="Times New Roman"/>
          <w:noProof/>
          <w:lang w:val="tr-TR"/>
        </w:rPr>
        <w:t>ından mahrum bırakılmıştır.</w:t>
      </w:r>
    </w:p>
    <w:p w:rsidR="0015092C" w:rsidRPr="003D5488" w:rsidRDefault="0015092C" w:rsidP="005B5EC2">
      <w:pPr>
        <w:pStyle w:val="JuPara"/>
        <w:rPr>
          <w:rFonts w:ascii="Times New Roman" w:hAnsi="Times New Roman" w:cs="Times New Roman"/>
          <w:noProof/>
          <w:lang w:val="tr-TR"/>
        </w:rPr>
      </w:pPr>
    </w:p>
    <w:p w:rsidR="0015092C" w:rsidRDefault="005B5EC2" w:rsidP="00724F6F">
      <w:pPr>
        <w:pStyle w:val="Balk2"/>
        <w:numPr>
          <w:ilvl w:val="3"/>
          <w:numId w:val="22"/>
        </w:numPr>
        <w:ind w:left="720"/>
        <w:rPr>
          <w:noProof/>
          <w:color w:val="auto"/>
        </w:rPr>
      </w:pPr>
      <w:r w:rsidRPr="003D5488">
        <w:rPr>
          <w:noProof/>
          <w:color w:val="auto"/>
        </w:rPr>
        <w:t>Hükümet</w:t>
      </w:r>
    </w:p>
    <w:p w:rsidR="0015092C" w:rsidRPr="0015092C" w:rsidRDefault="0015092C" w:rsidP="0015092C">
      <w:pPr>
        <w:pStyle w:val="Balk2"/>
        <w:numPr>
          <w:ilvl w:val="0"/>
          <w:numId w:val="0"/>
        </w:numPr>
        <w:ind w:left="2970"/>
      </w:pPr>
    </w:p>
    <w:p w:rsidR="005B5EC2" w:rsidRPr="003D5488" w:rsidRDefault="005B5EC2" w:rsidP="00085FC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375.  Hükümet, esas beyanları olarak, başvurucunun Sözleşme’ye Ek 1 Numaralı Protokol’ün 3. maddesinin ihlal edilmesi nedeniyle mağdur olduğunu iddia edemeyeceğini ileri sürmüştür. Bu madde, bireyin seçimlere aday olma ve seçildikten sonra milletvekili olarak yer alma hakkını güvence altına almaktadır. Konunun gerektirdiği kadar, başvurucunun görev süresi boyunca, milletvekili statüsünü koruyabildiğini ve bu nedenle maaşını aldığını ve milletvekillerinin yararlandığı Millet Meclisi içinde fiziki olarak bulunmayı gerektirmeyen haklardan yararlanmaya hak kazandığını kaydetmiştir. Bu bağlamda, Hükümet, örneğin, 17 Nisan 2018 tarihinde yaptığı gibi, başvurucunun Bakanlar Kurulu'na yazılı sorular sunabildiğini ileri sürmüştür. Dolayısıyla, yürütmenin tahkik edilmesi açısından önemli bir işlevi yerine getirmeye devam edebilmiştir. Başvurucunun milletvekili olarak haklarını kullanmasının </w:t>
      </w:r>
      <w:r w:rsidR="00DA1D16">
        <w:rPr>
          <w:rFonts w:ascii="Times New Roman" w:hAnsi="Times New Roman" w:cs="Times New Roman"/>
          <w:noProof/>
          <w:lang w:val="tr-TR"/>
        </w:rPr>
        <w:t>imkân</w:t>
      </w:r>
      <w:r w:rsidRPr="003D5488">
        <w:rPr>
          <w:rFonts w:ascii="Times New Roman" w:hAnsi="Times New Roman" w:cs="Times New Roman"/>
          <w:noProof/>
          <w:lang w:val="tr-TR"/>
        </w:rPr>
        <w:t xml:space="preserve">sız değilse daha zor hale geldiği gerçeği, mecliste bulunma hakkının kullanımına bir müdahale olarak değil, duruşma öncesi tutukluluğunun amaçlanmamış </w:t>
      </w:r>
      <w:r w:rsidR="00085FCA">
        <w:rPr>
          <w:rFonts w:ascii="Times New Roman" w:hAnsi="Times New Roman" w:cs="Times New Roman"/>
          <w:noProof/>
          <w:lang w:val="tr-TR"/>
        </w:rPr>
        <w:t>bir sonucu olarak görülmelidir.</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376.  Bu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 xml:space="preserve">in esasına gelince, Hükümet, Mahkeme'nin başvurucunun haklarının 1 Numaralı Protokol'ün 3. maddesi kapsamında kullanımına bir müdahale olduğunu tespit edecek olması halinde, bu müdahalenin haklı olarak görülmesi gerektiğini belirtmiştir. Sözleşme'ye Ek 1 Numaralı Protokol'ün 3.maddesinde yer alan haklar mutlak değildir. Özellikle, söz konusu madde, bir milletvekilinin kovuşturulmasına veya tutukluluğuna engel değildir. Hükümet ayrıca, başvurucunun tutukluluğunun keyfi olmadığı yönündeki iddiasını yinelemiştir. Aksine, keyfiliğe karşı uygun adli güvenceler sağlayan yargılamalarda 17 Kasım 2016 ile 21 Aralık 2017 tarihleri ​​arasında toplam yirmi üç kez tutukluluk hususu incelenmiştir. Tutuklamanın yasal bir dayanağı vardır ve başvurucunun kaçmasını önlemek gibi meşru bir amaç gütmektedir. Bu </w:t>
      </w:r>
      <w:r w:rsidRPr="003D5488">
        <w:rPr>
          <w:rFonts w:ascii="Times New Roman" w:hAnsi="Times New Roman" w:cs="Times New Roman"/>
          <w:noProof/>
          <w:lang w:val="tr-TR"/>
        </w:rPr>
        <w:lastRenderedPageBreak/>
        <w:t xml:space="preserve">nedenle, başvurucunun işlediği iddia edilen suçlarının niteliği göz önüne alınacak olunursa orantılıdır. Bu bağlamda, Hükümet, Anayasa Mahkemesi de </w:t>
      </w:r>
      <w:r w:rsidR="00DA1D16">
        <w:rPr>
          <w:rFonts w:ascii="Times New Roman" w:hAnsi="Times New Roman" w:cs="Times New Roman"/>
          <w:noProof/>
          <w:lang w:val="tr-TR"/>
        </w:rPr>
        <w:t>dâhil</w:t>
      </w:r>
      <w:r w:rsidRPr="003D5488">
        <w:rPr>
          <w:rFonts w:ascii="Times New Roman" w:hAnsi="Times New Roman" w:cs="Times New Roman"/>
          <w:noProof/>
          <w:lang w:val="tr-TR"/>
        </w:rPr>
        <w:t xml:space="preserve"> olmak üzere yerel mahkemelerin, başvurucunun tutukluluğunun, adaletin düzgün bir şekilde uygulanmasının çıkarlarına karşı Sözleşme’ye Ek 1 Numaralı Protokol’ün3. maddesi ile başvurucunun güvence altına alınan menfaatlerini tarttıktan sonra gerekli olduğunu ifade ettiğini not etmiştir. Buna ek olarak, dengeleme uygulamalarını takiben, ulusal mahkemeler tutuklamaya alternatif tedbirlerin yetersiz görüldüğünü tespit etmişlerdir.</w:t>
      </w:r>
    </w:p>
    <w:p w:rsidR="005B5EC2" w:rsidRPr="00085FCA" w:rsidRDefault="005B5EC2" w:rsidP="00724F6F">
      <w:pPr>
        <w:pStyle w:val="JuHA"/>
        <w:numPr>
          <w:ilvl w:val="0"/>
          <w:numId w:val="22"/>
        </w:numPr>
        <w:rPr>
          <w:b/>
          <w:noProof/>
          <w:sz w:val="24"/>
          <w:lang w:val="tr-TR"/>
        </w:rPr>
      </w:pPr>
      <w:r w:rsidRPr="00085FCA">
        <w:rPr>
          <w:b/>
          <w:noProof/>
          <w:sz w:val="24"/>
          <w:lang w:val="tr-TR"/>
        </w:rPr>
        <w:t>Üçüncü Taraflar</w:t>
      </w:r>
    </w:p>
    <w:p w:rsidR="005B5EC2" w:rsidRPr="003D5488" w:rsidRDefault="005B5EC2" w:rsidP="00724F6F">
      <w:pPr>
        <w:pStyle w:val="Balk2"/>
        <w:numPr>
          <w:ilvl w:val="3"/>
          <w:numId w:val="22"/>
        </w:numPr>
        <w:ind w:left="1170" w:hanging="270"/>
        <w:rPr>
          <w:noProof/>
          <w:color w:val="auto"/>
        </w:rPr>
      </w:pPr>
      <w:r w:rsidRPr="003D5488">
        <w:rPr>
          <w:noProof/>
          <w:color w:val="auto"/>
        </w:rPr>
        <w:t>İnsan Hakları Komiseri</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377.   İnsan Hakları Komiseri, demokratik sistemlerde </w:t>
      </w:r>
      <w:r w:rsidR="001302A1">
        <w:rPr>
          <w:rFonts w:ascii="Times New Roman" w:hAnsi="Times New Roman" w:cs="Times New Roman"/>
          <w:noProof/>
          <w:lang w:val="tr-TR"/>
        </w:rPr>
        <w:t>milletvekil</w:t>
      </w:r>
      <w:r w:rsidRPr="003D5488">
        <w:rPr>
          <w:rFonts w:ascii="Times New Roman" w:hAnsi="Times New Roman" w:cs="Times New Roman"/>
          <w:noProof/>
          <w:lang w:val="tr-TR"/>
        </w:rPr>
        <w:t>lerinin oynadıkları kilit rolü vurgulamıştır. Muhalif milletvekillerinin tutukluluk halleri, Sözleşme’ye Ek 1 Numaralı Protokol’ün3. maddesi ile korunan serbest seçim hakkı üzerinde önemli bir olumsuz etki yaratmıştır.</w:t>
      </w:r>
    </w:p>
    <w:p w:rsidR="005B5EC2" w:rsidRPr="003D5488" w:rsidRDefault="005B5EC2" w:rsidP="00724F6F">
      <w:pPr>
        <w:pStyle w:val="Balk2"/>
        <w:numPr>
          <w:ilvl w:val="3"/>
          <w:numId w:val="22"/>
        </w:numPr>
        <w:ind w:left="1170"/>
        <w:rPr>
          <w:noProof/>
          <w:color w:val="auto"/>
        </w:rPr>
      </w:pPr>
      <w:r w:rsidRPr="003D5488">
        <w:rPr>
          <w:noProof/>
          <w:color w:val="auto"/>
        </w:rPr>
        <w:t>Parlamentolar Arası Birlik</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378. Parlamentolar Arası Birlik, başvurucunun tutukluluğunun kendisini meclis sorumluluklarına anlamlı bir şekilde adamasını </w:t>
      </w:r>
      <w:r w:rsidR="00DA1D16">
        <w:rPr>
          <w:rFonts w:ascii="Times New Roman" w:hAnsi="Times New Roman" w:cs="Times New Roman"/>
          <w:noProof/>
          <w:lang w:val="tr-TR"/>
        </w:rPr>
        <w:t>imkân</w:t>
      </w:r>
      <w:r w:rsidRPr="003D5488">
        <w:rPr>
          <w:rFonts w:ascii="Times New Roman" w:hAnsi="Times New Roman" w:cs="Times New Roman"/>
          <w:noProof/>
          <w:lang w:val="tr-TR"/>
        </w:rPr>
        <w:t>sız hale getirdiğini belirtmiştir.</w:t>
      </w:r>
    </w:p>
    <w:p w:rsidR="005B5EC2" w:rsidRPr="003D5488" w:rsidRDefault="005B5EC2" w:rsidP="00724F6F">
      <w:pPr>
        <w:pStyle w:val="Balk2"/>
        <w:numPr>
          <w:ilvl w:val="3"/>
          <w:numId w:val="22"/>
        </w:numPr>
        <w:ind w:left="1170"/>
        <w:rPr>
          <w:noProof/>
          <w:color w:val="auto"/>
        </w:rPr>
      </w:pPr>
      <w:r w:rsidRPr="003D5488">
        <w:rPr>
          <w:noProof/>
          <w:color w:val="auto"/>
        </w:rPr>
        <w:t>Mü</w:t>
      </w:r>
      <w:r w:rsidR="00DA1D16">
        <w:rPr>
          <w:noProof/>
          <w:color w:val="auto"/>
        </w:rPr>
        <w:t>dâhil</w:t>
      </w:r>
      <w:r w:rsidRPr="003D5488">
        <w:rPr>
          <w:noProof/>
          <w:color w:val="auto"/>
        </w:rPr>
        <w:t xml:space="preserve"> STK’lar</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379.  Mü</w:t>
      </w:r>
      <w:r w:rsidR="00DA1D16">
        <w:rPr>
          <w:rFonts w:ascii="Times New Roman" w:hAnsi="Times New Roman" w:cs="Times New Roman"/>
          <w:noProof/>
          <w:lang w:val="tr-TR"/>
        </w:rPr>
        <w:t>dâhil</w:t>
      </w:r>
      <w:r w:rsidRPr="003D5488">
        <w:rPr>
          <w:rFonts w:ascii="Times New Roman" w:hAnsi="Times New Roman" w:cs="Times New Roman"/>
          <w:noProof/>
          <w:lang w:val="tr-TR"/>
        </w:rPr>
        <w:t xml:space="preserve"> STK'lar, muhalefet milletvekillerinin eleştirel görüşler ifade ettikleri için tutukluluk hallerinin Sözleşme’ye Ek 1 Numaralı Protokol’ün3. maddesinde yer alan haklara haksız müdahale teşkil ettiğini ileri sürmüşlerdir.</w:t>
      </w:r>
    </w:p>
    <w:p w:rsidR="005B5EC2" w:rsidRPr="00085FCA" w:rsidRDefault="005B5EC2" w:rsidP="00724F6F">
      <w:pPr>
        <w:pStyle w:val="JuHA"/>
        <w:numPr>
          <w:ilvl w:val="0"/>
          <w:numId w:val="22"/>
        </w:numPr>
        <w:rPr>
          <w:b/>
          <w:noProof/>
          <w:sz w:val="24"/>
          <w:lang w:val="tr-TR"/>
        </w:rPr>
      </w:pPr>
      <w:r w:rsidRPr="00085FCA">
        <w:rPr>
          <w:b/>
          <w:noProof/>
          <w:sz w:val="24"/>
          <w:lang w:val="tr-TR"/>
        </w:rPr>
        <w:t>Büyük Daire'nin değerlendirmesi</w:t>
      </w:r>
    </w:p>
    <w:p w:rsidR="005B5EC2" w:rsidRDefault="005B5EC2" w:rsidP="00724F6F">
      <w:pPr>
        <w:pStyle w:val="Balk2"/>
        <w:numPr>
          <w:ilvl w:val="3"/>
          <w:numId w:val="22"/>
        </w:numPr>
        <w:ind w:left="1260" w:hanging="450"/>
        <w:rPr>
          <w:noProof/>
          <w:color w:val="auto"/>
        </w:rPr>
      </w:pPr>
      <w:r w:rsidRPr="003D5488">
        <w:rPr>
          <w:noProof/>
          <w:color w:val="auto"/>
        </w:rPr>
        <w:t>Kabul Edilebilirlik</w:t>
      </w:r>
    </w:p>
    <w:p w:rsidR="005551C0" w:rsidRPr="005551C0" w:rsidRDefault="005551C0" w:rsidP="005551C0">
      <w:pPr>
        <w:pStyle w:val="Balk2"/>
        <w:numPr>
          <w:ilvl w:val="0"/>
          <w:numId w:val="0"/>
        </w:numPr>
        <w:ind w:left="2970"/>
      </w:pPr>
    </w:p>
    <w:p w:rsidR="005B5EC2" w:rsidRPr="003D5488" w:rsidRDefault="005B5EC2" w:rsidP="005551C0">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380.  Hükümet’in başvurucunun mağdur durumuna ilişkin kabul edilemezlik iddiasıyla ilgili olarak Mahkeme, başvurucunun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inin esasının incelenmesi ile yakından bağlantılı konuları gündeme getirdiğini düşünmektedir. Bu nedenle, esasa ilişkin incelenmesi bağl</w:t>
      </w:r>
      <w:r w:rsidR="005551C0">
        <w:rPr>
          <w:rFonts w:ascii="Times New Roman" w:hAnsi="Times New Roman" w:cs="Times New Roman"/>
          <w:noProof/>
          <w:lang w:val="tr-TR"/>
        </w:rPr>
        <w:t>amında bu soruyu ele alacaktır.</w:t>
      </w:r>
    </w:p>
    <w:p w:rsidR="005B5EC2"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381.  Mahkeme ayrıca, bu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 xml:space="preserve">in Sözleşme'nin 35. maddesinin 3. fıkrasının a bendinin anlamı </w:t>
      </w:r>
      <w:r w:rsidR="00DA1D16">
        <w:rPr>
          <w:rFonts w:ascii="Times New Roman" w:hAnsi="Times New Roman" w:cs="Times New Roman"/>
          <w:noProof/>
          <w:lang w:val="tr-TR"/>
        </w:rPr>
        <w:t>dâhil</w:t>
      </w:r>
      <w:r w:rsidRPr="003D5488">
        <w:rPr>
          <w:rFonts w:ascii="Times New Roman" w:hAnsi="Times New Roman" w:cs="Times New Roman"/>
          <w:noProof/>
          <w:lang w:val="tr-TR"/>
        </w:rPr>
        <w:t>inde açıkça dayanaktan yoksun olmadığını ve başka herhangi bir gerekçeyle kabul edilemez olmadığını not etmektedir. Bu nedenle iddiaların kabul edilebilir olduğu beyan edilmelidir.</w:t>
      </w:r>
    </w:p>
    <w:p w:rsidR="00350CA9" w:rsidRDefault="00350CA9" w:rsidP="005B5EC2">
      <w:pPr>
        <w:pStyle w:val="JuPara"/>
        <w:rPr>
          <w:rFonts w:ascii="Times New Roman" w:hAnsi="Times New Roman" w:cs="Times New Roman"/>
          <w:noProof/>
          <w:lang w:val="tr-TR"/>
        </w:rPr>
      </w:pPr>
    </w:p>
    <w:p w:rsidR="00350CA9" w:rsidRDefault="00350CA9" w:rsidP="005B5EC2">
      <w:pPr>
        <w:pStyle w:val="JuPara"/>
        <w:rPr>
          <w:rFonts w:ascii="Times New Roman" w:hAnsi="Times New Roman" w:cs="Times New Roman"/>
          <w:noProof/>
          <w:lang w:val="tr-TR"/>
        </w:rPr>
      </w:pPr>
    </w:p>
    <w:p w:rsidR="00350CA9" w:rsidRDefault="00350CA9" w:rsidP="005B5EC2">
      <w:pPr>
        <w:pStyle w:val="JuPara"/>
        <w:rPr>
          <w:rFonts w:ascii="Times New Roman" w:hAnsi="Times New Roman" w:cs="Times New Roman"/>
          <w:noProof/>
          <w:lang w:val="tr-TR"/>
        </w:rPr>
      </w:pPr>
    </w:p>
    <w:p w:rsidR="005551C0" w:rsidRPr="003D5488" w:rsidRDefault="005551C0" w:rsidP="005B5EC2">
      <w:pPr>
        <w:pStyle w:val="JuPara"/>
        <w:rPr>
          <w:rFonts w:ascii="Times New Roman" w:hAnsi="Times New Roman" w:cs="Times New Roman"/>
          <w:noProof/>
          <w:lang w:val="tr-TR"/>
        </w:rPr>
      </w:pPr>
    </w:p>
    <w:p w:rsidR="005B5EC2" w:rsidRDefault="005B5EC2" w:rsidP="00724F6F">
      <w:pPr>
        <w:pStyle w:val="Balk2"/>
        <w:numPr>
          <w:ilvl w:val="3"/>
          <w:numId w:val="22"/>
        </w:numPr>
        <w:tabs>
          <w:tab w:val="left" w:pos="1260"/>
        </w:tabs>
        <w:ind w:hanging="2070"/>
        <w:rPr>
          <w:noProof/>
          <w:color w:val="auto"/>
        </w:rPr>
      </w:pPr>
      <w:r w:rsidRPr="003D5488">
        <w:rPr>
          <w:noProof/>
          <w:color w:val="auto"/>
        </w:rPr>
        <w:lastRenderedPageBreak/>
        <w:t>Esas</w:t>
      </w:r>
    </w:p>
    <w:p w:rsidR="00DA1D16" w:rsidRPr="00DA1D16" w:rsidRDefault="00DA1D16" w:rsidP="00DA1D16">
      <w:pPr>
        <w:rPr>
          <w:lang w:eastAsia="tr-TR"/>
        </w:rPr>
      </w:pPr>
    </w:p>
    <w:p w:rsidR="005B5EC2" w:rsidRPr="00603E1A" w:rsidRDefault="005551C0" w:rsidP="00724F6F">
      <w:pPr>
        <w:pStyle w:val="Balk3"/>
        <w:numPr>
          <w:ilvl w:val="0"/>
          <w:numId w:val="23"/>
        </w:numPr>
        <w:rPr>
          <w:noProof/>
          <w:color w:val="auto"/>
        </w:rPr>
      </w:pPr>
      <w:r>
        <w:rPr>
          <w:noProof/>
        </w:rPr>
        <w:t>Genel i</w:t>
      </w:r>
      <w:r w:rsidR="005B5EC2" w:rsidRPr="00603E1A">
        <w:rPr>
          <w:noProof/>
          <w:color w:val="auto"/>
        </w:rPr>
        <w:t>lkeler</w:t>
      </w:r>
    </w:p>
    <w:p w:rsidR="005B5EC2" w:rsidRPr="003D5488" w:rsidRDefault="005B5EC2" w:rsidP="005551C0">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382.  Mahkeme, demokrasinin "Avrupa kamu düzeninin" temel bir unsurunu oluşturduğunu ve Sözleşme’ye Ek 1 Numaralı Protokol’ün 3. maddesi kapsamında teminat altına alınan hakların, hukukun üstünlüğüyle yönetilen etkili ve anlamlı bir demokrasinin temellerini oluşturmak ve sürdürmek için çok önemli olduğunu yinelemektedir (bakınız yukarıda anılan </w:t>
      </w:r>
      <w:r w:rsidRPr="003D5488">
        <w:rPr>
          <w:rFonts w:ascii="Times New Roman" w:hAnsi="Times New Roman" w:cs="Times New Roman"/>
          <w:i/>
          <w:iCs/>
          <w:noProof/>
          <w:lang w:val="tr-TR"/>
        </w:rPr>
        <w:t>Karácsony ve diğerleri</w:t>
      </w:r>
      <w:r w:rsidRPr="003D5488">
        <w:rPr>
          <w:rFonts w:ascii="Times New Roman" w:hAnsi="Times New Roman" w:cs="Times New Roman"/>
          <w:noProof/>
          <w:lang w:val="tr-TR"/>
        </w:rPr>
        <w:t xml:space="preserve">, § 141 ve </w:t>
      </w:r>
      <w:r w:rsidRPr="003D5488">
        <w:rPr>
          <w:rFonts w:ascii="Times New Roman" w:hAnsi="Times New Roman" w:cs="Times New Roman"/>
          <w:i/>
          <w:iCs/>
          <w:noProof/>
          <w:lang w:val="tr-TR"/>
        </w:rPr>
        <w:t>Mugemangango v. Belçika [BD]</w:t>
      </w:r>
      <w:r w:rsidRPr="003D5488">
        <w:rPr>
          <w:rFonts w:ascii="Times New Roman" w:hAnsi="Times New Roman" w:cs="Times New Roman"/>
          <w:noProof/>
          <w:lang w:val="tr-TR"/>
        </w:rPr>
        <w:t>, no.</w:t>
      </w:r>
      <w:r w:rsidR="005551C0">
        <w:rPr>
          <w:rFonts w:ascii="Times New Roman" w:hAnsi="Times New Roman" w:cs="Times New Roman"/>
          <w:noProof/>
          <w:lang w:val="tr-TR"/>
        </w:rPr>
        <w:t xml:space="preserve"> 310/15, § 67, 10 Temmuz 2020).</w:t>
      </w:r>
    </w:p>
    <w:p w:rsidR="005B5EC2" w:rsidRPr="003D5488" w:rsidRDefault="005B5EC2" w:rsidP="005551C0">
      <w:pPr>
        <w:pStyle w:val="JuPara"/>
        <w:rPr>
          <w:rFonts w:ascii="Times New Roman" w:hAnsi="Times New Roman" w:cs="Times New Roman"/>
          <w:noProof/>
          <w:lang w:val="tr-TR"/>
        </w:rPr>
      </w:pPr>
      <w:bookmarkStart w:id="37" w:name="assisedetoutregimedemocratique"/>
      <w:r w:rsidRPr="003D5488">
        <w:rPr>
          <w:rFonts w:ascii="Times New Roman" w:hAnsi="Times New Roman" w:cs="Times New Roman"/>
          <w:noProof/>
          <w:lang w:val="tr-TR"/>
        </w:rPr>
        <w:t>383</w:t>
      </w:r>
      <w:bookmarkEnd w:id="37"/>
      <w:r w:rsidRPr="003D5488">
        <w:rPr>
          <w:rFonts w:ascii="Times New Roman" w:hAnsi="Times New Roman" w:cs="Times New Roman"/>
          <w:noProof/>
          <w:lang w:val="tr-TR"/>
        </w:rPr>
        <w:t xml:space="preserve">.  Daha önce </w:t>
      </w:r>
      <w:r w:rsidRPr="003D5488">
        <w:rPr>
          <w:rFonts w:ascii="Times New Roman" w:hAnsi="Times New Roman" w:cs="Times New Roman"/>
          <w:i/>
          <w:iCs/>
          <w:noProof/>
          <w:lang w:val="tr-TR"/>
        </w:rPr>
        <w:t>Mathieu-Mohin ve Clerfayt v. Belçika</w:t>
      </w:r>
      <w:r w:rsidRPr="003D5488">
        <w:rPr>
          <w:rFonts w:ascii="Times New Roman" w:hAnsi="Times New Roman" w:cs="Times New Roman"/>
          <w:noProof/>
          <w:lang w:val="tr-TR"/>
        </w:rPr>
        <w:t xml:space="preserve"> (2 Mart 1987, § 47, Series A no. 113) ve </w:t>
      </w:r>
      <w:r w:rsidRPr="003D5488">
        <w:rPr>
          <w:rFonts w:ascii="Times New Roman" w:hAnsi="Times New Roman" w:cs="Times New Roman"/>
          <w:i/>
          <w:iCs/>
          <w:noProof/>
          <w:lang w:val="tr-TR"/>
        </w:rPr>
        <w:t>Lingens v. Avusturya</w:t>
      </w:r>
      <w:r w:rsidRPr="003D5488">
        <w:rPr>
          <w:rFonts w:ascii="Times New Roman" w:hAnsi="Times New Roman" w:cs="Times New Roman"/>
          <w:noProof/>
          <w:lang w:val="tr-TR"/>
        </w:rPr>
        <w:t xml:space="preserve"> (8 Temmuz 1986, §§ 41 ve 42, Series A no. 103) davalarında, serbest seçim ve ifade özgürlüğünün, özellikle siyasi tartışma özgürlüğünün her demokrasinin temelini oluşturduğunu ifade etmiştir (ayrıca bakınız yukarıda anılan </w:t>
      </w:r>
      <w:r w:rsidRPr="003D5488">
        <w:rPr>
          <w:rFonts w:ascii="Times New Roman" w:hAnsi="Times New Roman" w:cs="Times New Roman"/>
          <w:i/>
          <w:iCs/>
          <w:noProof/>
          <w:lang w:val="tr-TR"/>
        </w:rPr>
        <w:t>Tănase</w:t>
      </w:r>
      <w:r w:rsidRPr="003D5488">
        <w:rPr>
          <w:rFonts w:ascii="Times New Roman" w:hAnsi="Times New Roman" w:cs="Times New Roman"/>
          <w:noProof/>
          <w:lang w:val="tr-TR"/>
        </w:rPr>
        <w:t xml:space="preserve">, § 154). Böylece Sözleşme, etkili bir siyasi demokrasi ile Meclis’in etkili işleyişi arasında yakın bir bağ kurmaktadır. Bu doğrultuda, Meclis’in etkili işleyişinin demokratik bir toplum için kilit öneme sahip bir değer olduğuna hiç şüphe yoktur (bakınız yukarıda anılan </w:t>
      </w:r>
      <w:r w:rsidRPr="003D5488">
        <w:rPr>
          <w:rFonts w:ascii="Times New Roman" w:hAnsi="Times New Roman" w:cs="Times New Roman"/>
          <w:i/>
          <w:iCs/>
          <w:noProof/>
          <w:lang w:val="tr-TR"/>
        </w:rPr>
        <w:t>Karácsony ve diğerleri</w:t>
      </w:r>
      <w:r w:rsidR="005551C0">
        <w:rPr>
          <w:rFonts w:ascii="Times New Roman" w:hAnsi="Times New Roman" w:cs="Times New Roman"/>
          <w:noProof/>
          <w:lang w:val="tr-TR"/>
        </w:rPr>
        <w:t>, § 141).</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384.  Mahkeme, ifade özgürlüğü ile ilgili davalarda şunları belirtmiştir:</w:t>
      </w:r>
    </w:p>
    <w:p w:rsidR="005B5EC2" w:rsidRPr="005551C0" w:rsidRDefault="005B5EC2" w:rsidP="005B5EC2">
      <w:pPr>
        <w:pStyle w:val="JuQuot"/>
        <w:rPr>
          <w:rFonts w:ascii="Times New Roman" w:hAnsi="Times New Roman" w:cs="Times New Roman"/>
          <w:noProof/>
          <w:sz w:val="22"/>
          <w:lang w:val="tr-TR"/>
        </w:rPr>
      </w:pPr>
      <w:r w:rsidRPr="005551C0">
        <w:rPr>
          <w:rFonts w:ascii="Times New Roman" w:hAnsi="Times New Roman" w:cs="Times New Roman"/>
          <w:noProof/>
          <w:sz w:val="22"/>
          <w:lang w:val="tr-TR"/>
        </w:rPr>
        <w:t xml:space="preserve">“İfade özgürlüğü herkes için önemliyken, özellikle seçilmiş bir halk temsilcisi için çok önemlidir. Bu kişi seçmenini temsil eder, kaygıları ile ilgilenir ve çıkarlarını savunur. Dolayısıyla, bir muhalif milletvekilinin ifade özgürlüğüne müdahale ... Mahkemenin yakinen incelemesini gerektirir." (bakınız yukarıda anılan </w:t>
      </w:r>
      <w:r w:rsidRPr="005551C0">
        <w:rPr>
          <w:rFonts w:ascii="Times New Roman" w:hAnsi="Times New Roman" w:cs="Times New Roman"/>
          <w:i/>
          <w:iCs/>
          <w:noProof/>
          <w:sz w:val="22"/>
          <w:lang w:val="tr-TR"/>
        </w:rPr>
        <w:t>Castells</w:t>
      </w:r>
      <w:r w:rsidRPr="005551C0">
        <w:rPr>
          <w:rFonts w:ascii="Times New Roman" w:hAnsi="Times New Roman" w:cs="Times New Roman"/>
          <w:noProof/>
          <w:sz w:val="22"/>
          <w:lang w:val="tr-TR"/>
        </w:rPr>
        <w:t>, § 42)</w:t>
      </w:r>
    </w:p>
    <w:p w:rsidR="005B5EC2" w:rsidRPr="003D5488" w:rsidRDefault="005B5EC2" w:rsidP="005551C0">
      <w:pPr>
        <w:pStyle w:val="JuPara"/>
        <w:rPr>
          <w:rFonts w:ascii="Times New Roman" w:hAnsi="Times New Roman" w:cs="Times New Roman"/>
          <w:noProof/>
          <w:lang w:val="tr-TR"/>
        </w:rPr>
      </w:pPr>
      <w:r w:rsidRPr="003D5488">
        <w:rPr>
          <w:rFonts w:ascii="Times New Roman" w:hAnsi="Times New Roman" w:cs="Times New Roman"/>
          <w:noProof/>
          <w:lang w:val="tr-TR"/>
        </w:rPr>
        <w:t>Mahkeme'nin daha önce de belirttiği gibi (bakınız yukarıda 243. paragraf), bu ilkeleri daha sonraki birçok durumda teyit etmiştir. Halkın vekillerinin ifade özgürlüğü mutlak nitelikte olmamakla birlikte, özellikle muhalefet üyesi iseler, onlar tarafından yapılan açıklamaların korunması özellikle önemlidir. Bununla birlikte Mahkeme, bu bağlamda, özellikle doğrudan veya dolaylı şiddet çağrılarını önlemek için sınırlamalar olabileceğini kabul etmektedir. Bunlar ışığında, Mahkeme, ifade özgürlüğünün güvende olduğunu teyit etmek için her zama</w:t>
      </w:r>
      <w:r w:rsidR="005551C0">
        <w:rPr>
          <w:rFonts w:ascii="Times New Roman" w:hAnsi="Times New Roman" w:cs="Times New Roman"/>
          <w:noProof/>
          <w:lang w:val="tr-TR"/>
        </w:rPr>
        <w:t>n katı bir inceleme yapacaktır.</w:t>
      </w:r>
    </w:p>
    <w:p w:rsidR="005B5EC2" w:rsidRPr="003D5488" w:rsidRDefault="005B5EC2" w:rsidP="005551C0">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385.  Sözleşme’ye Ek 1 Numaralı Protokol’ün 3.maddesi, Yüksek Sözleşmeci Taraf’ın, belirli bir hak veya özgürlükten ziyade halkın görüşlerinin özgürce ifade edilmesini sağlayan koşullar altında seçim yapma yükümlülüğü olarak </w:t>
      </w:r>
      <w:r w:rsidR="00F53194">
        <w:rPr>
          <w:rFonts w:ascii="Times New Roman" w:hAnsi="Times New Roman" w:cs="Times New Roman"/>
          <w:noProof/>
          <w:lang w:val="tr-TR"/>
        </w:rPr>
        <w:t>ifade edildiğinden Sözleşme ve E</w:t>
      </w:r>
      <w:r w:rsidRPr="003D5488">
        <w:rPr>
          <w:rFonts w:ascii="Times New Roman" w:hAnsi="Times New Roman" w:cs="Times New Roman"/>
          <w:noProof/>
          <w:lang w:val="tr-TR"/>
        </w:rPr>
        <w:t xml:space="preserve">k Protokolleri’nde güvence altına alınan diğer haklardan farklıdır. Sözleşme’ye Ek 1 Numaralı Protokol’ün 3. maddesine ilişkin hazırlık çalışmalarını ve bu hükmün bir bütün olarak Sözleşme bağlamında yorumlanmasını dikkate alarak, Mahkeme, oy verme ve seçimlere aday olma hakkı da </w:t>
      </w:r>
      <w:r w:rsidR="00DA1D16">
        <w:rPr>
          <w:rFonts w:ascii="Times New Roman" w:hAnsi="Times New Roman" w:cs="Times New Roman"/>
          <w:noProof/>
          <w:lang w:val="tr-TR"/>
        </w:rPr>
        <w:t>dâhil</w:t>
      </w:r>
      <w:r w:rsidRPr="003D5488">
        <w:rPr>
          <w:rFonts w:ascii="Times New Roman" w:hAnsi="Times New Roman" w:cs="Times New Roman"/>
          <w:noProof/>
          <w:lang w:val="tr-TR"/>
        </w:rPr>
        <w:t xml:space="preserve"> olmak üzere </w:t>
      </w:r>
      <w:r w:rsidRPr="003D5488">
        <w:rPr>
          <w:rFonts w:ascii="Times New Roman" w:hAnsi="Times New Roman" w:cs="Times New Roman"/>
          <w:noProof/>
          <w:lang w:val="tr-TR"/>
        </w:rPr>
        <w:lastRenderedPageBreak/>
        <w:t xml:space="preserve">bireysel hakları da ifade </w:t>
      </w:r>
      <w:r w:rsidR="005551C0">
        <w:rPr>
          <w:rFonts w:ascii="Times New Roman" w:hAnsi="Times New Roman" w:cs="Times New Roman"/>
          <w:noProof/>
          <w:lang w:val="tr-TR"/>
        </w:rPr>
        <w:t>ettiğini tespit etmiştir (bakını</w:t>
      </w:r>
      <w:r w:rsidRPr="003D5488">
        <w:rPr>
          <w:rFonts w:ascii="Times New Roman" w:hAnsi="Times New Roman" w:cs="Times New Roman"/>
          <w:noProof/>
          <w:lang w:val="tr-TR"/>
        </w:rPr>
        <w:t xml:space="preserve">z </w:t>
      </w:r>
      <w:r w:rsidRPr="003D5488">
        <w:rPr>
          <w:rFonts w:ascii="Times New Roman" w:hAnsi="Times New Roman" w:cs="Times New Roman"/>
          <w:i/>
          <w:iCs/>
          <w:noProof/>
          <w:lang w:val="tr-TR"/>
        </w:rPr>
        <w:t>Ždanoka v. Letonya</w:t>
      </w:r>
      <w:r w:rsidRPr="003D5488">
        <w:rPr>
          <w:rFonts w:ascii="Times New Roman" w:hAnsi="Times New Roman" w:cs="Times New Roman"/>
          <w:noProof/>
          <w:lang w:val="tr-TR"/>
        </w:rPr>
        <w:t xml:space="preserve"> [BD], no. </w:t>
      </w:r>
      <w:r w:rsidR="005551C0">
        <w:rPr>
          <w:rFonts w:ascii="Times New Roman" w:hAnsi="Times New Roman" w:cs="Times New Roman"/>
          <w:noProof/>
          <w:lang w:val="tr-TR"/>
        </w:rPr>
        <w:t>58278/00, § 102, ECHR 2006 IV).</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386.   Mahkeme, Sözleşme'nin amaç ve niyetinin, hükümlerinin teorik ya da yanıltıcı olarak değil, pratik ve etkili olacak şekilde yorumlanmasını ve uygulanmasını gerektirdiğini yeniden teyit etmektedir (bakınız, örneğin, Grosaru v. Romanya, no. 78039/01, § 47, ECHR 2010, diğer referanslarla birlikte). Bununla birlikte, gerçekten demokratik bir sistem kavramının doğasında bulunan Sözleşme’ye Ek 1 Numaralı Protokol’ün 3. maddesi ile güvence altına alınan haklardan eğer seçilmiş temsilciler veya seçmenleri herhangi bir anda keyfi olarak mahrum bırakılabilselerdi, bu haklar sadece hayali olacaktır (bakınız </w:t>
      </w:r>
      <w:r w:rsidRPr="003D5488">
        <w:rPr>
          <w:rFonts w:ascii="Times New Roman" w:hAnsi="Times New Roman" w:cs="Times New Roman"/>
          <w:i/>
          <w:iCs/>
          <w:noProof/>
          <w:lang w:val="tr-TR"/>
        </w:rPr>
        <w:t>Lykourezos</w:t>
      </w:r>
      <w:r w:rsidR="00603E1A">
        <w:rPr>
          <w:rFonts w:ascii="Times New Roman" w:hAnsi="Times New Roman" w:cs="Times New Roman"/>
          <w:noProof/>
          <w:lang w:val="tr-TR"/>
        </w:rPr>
        <w:t>, yukarıda anılan, § 56).</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Ayrıca Mahkeme, Sözleşme’ye Ek 1 Numaralı Protokol’ün 3. maddesinin, bireyin seçime aday olma ve seçildikten sonra milletvekili olarak mecliste yer alma hakkını güvence altına aldığına sürekli olarak hükmettiğini yinelemektedir (bakınız </w:t>
      </w:r>
      <w:r w:rsidRPr="003D5488">
        <w:rPr>
          <w:rFonts w:ascii="Times New Roman" w:hAnsi="Times New Roman" w:cs="Times New Roman"/>
          <w:i/>
          <w:iCs/>
          <w:noProof/>
          <w:lang w:val="tr-TR"/>
        </w:rPr>
        <w:t>Sadak ve diğerleri v. Türkiye</w:t>
      </w:r>
      <w:r w:rsidRPr="003D5488">
        <w:rPr>
          <w:rFonts w:ascii="Times New Roman" w:hAnsi="Times New Roman" w:cs="Times New Roman"/>
          <w:noProof/>
          <w:lang w:val="tr-TR"/>
        </w:rPr>
        <w:t xml:space="preserve"> </w:t>
      </w:r>
      <w:r w:rsidRPr="003D5488">
        <w:rPr>
          <w:rFonts w:ascii="Times New Roman" w:hAnsi="Times New Roman" w:cs="Times New Roman"/>
          <w:i/>
          <w:iCs/>
          <w:noProof/>
          <w:lang w:val="tr-TR"/>
        </w:rPr>
        <w:t>(no. 2)</w:t>
      </w:r>
      <w:r w:rsidRPr="003D5488">
        <w:rPr>
          <w:rFonts w:ascii="Times New Roman" w:hAnsi="Times New Roman" w:cs="Times New Roman"/>
          <w:noProof/>
          <w:lang w:val="tr-TR"/>
        </w:rPr>
        <w:t xml:space="preserve">, no. 25144/94 ve 8 diğerleri, § 33, ECHR 2002-IV; </w:t>
      </w:r>
      <w:r w:rsidRPr="003D5488">
        <w:rPr>
          <w:rFonts w:ascii="Times New Roman" w:hAnsi="Times New Roman" w:cs="Times New Roman"/>
          <w:i/>
          <w:iCs/>
          <w:noProof/>
          <w:lang w:val="tr-TR"/>
        </w:rPr>
        <w:t>Ilıcak v. Türkiye</w:t>
      </w:r>
      <w:r w:rsidRPr="003D5488">
        <w:rPr>
          <w:rFonts w:ascii="Times New Roman" w:hAnsi="Times New Roman" w:cs="Times New Roman"/>
          <w:noProof/>
          <w:lang w:val="tr-TR"/>
        </w:rPr>
        <w:t xml:space="preserve">, no. 15394/02, § 30, 5 Nisan 2007; </w:t>
      </w:r>
      <w:r w:rsidRPr="003D5488">
        <w:rPr>
          <w:rFonts w:ascii="Times New Roman" w:hAnsi="Times New Roman" w:cs="Times New Roman"/>
          <w:i/>
          <w:iCs/>
          <w:noProof/>
          <w:lang w:val="tr-TR"/>
        </w:rPr>
        <w:t>Sılay v. Türkiye</w:t>
      </w:r>
      <w:r w:rsidRPr="003D5488">
        <w:rPr>
          <w:rFonts w:ascii="Times New Roman" w:hAnsi="Times New Roman" w:cs="Times New Roman"/>
          <w:noProof/>
          <w:lang w:val="tr-TR"/>
        </w:rPr>
        <w:t xml:space="preserve">, no. 26733/02, § 27, 29 Kasım 2007; </w:t>
      </w:r>
      <w:r w:rsidRPr="003D5488">
        <w:rPr>
          <w:rFonts w:ascii="Times New Roman" w:hAnsi="Times New Roman" w:cs="Times New Roman"/>
          <w:i/>
          <w:iCs/>
          <w:noProof/>
          <w:lang w:val="tr-TR"/>
        </w:rPr>
        <w:t>Kavakçı v. Türkiye</w:t>
      </w:r>
      <w:r w:rsidRPr="003D5488">
        <w:rPr>
          <w:rFonts w:ascii="Times New Roman" w:hAnsi="Times New Roman" w:cs="Times New Roman"/>
          <w:noProof/>
          <w:lang w:val="tr-TR"/>
        </w:rPr>
        <w:t xml:space="preserve">, no. 71907/01, § 41, 5 Nisan 2007; </w:t>
      </w:r>
      <w:r w:rsidRPr="003D5488">
        <w:rPr>
          <w:rFonts w:ascii="Times New Roman" w:hAnsi="Times New Roman" w:cs="Times New Roman"/>
          <w:i/>
          <w:iCs/>
          <w:noProof/>
          <w:lang w:val="tr-TR"/>
        </w:rPr>
        <w:t>Sobacı v. Türkiye</w:t>
      </w:r>
      <w:r w:rsidRPr="003D5488">
        <w:rPr>
          <w:rFonts w:ascii="Times New Roman" w:hAnsi="Times New Roman" w:cs="Times New Roman"/>
          <w:noProof/>
          <w:lang w:val="tr-TR"/>
        </w:rPr>
        <w:t xml:space="preserve">, no. 26733/02, § 26, 29 Kasım 2007; ve </w:t>
      </w:r>
      <w:r w:rsidRPr="003D5488">
        <w:rPr>
          <w:rFonts w:ascii="Times New Roman" w:hAnsi="Times New Roman" w:cs="Times New Roman"/>
          <w:i/>
          <w:iCs/>
          <w:noProof/>
          <w:lang w:val="tr-TR"/>
        </w:rPr>
        <w:t>Riza ve diğerleri v. Bulgaristan</w:t>
      </w:r>
      <w:r w:rsidRPr="003D5488">
        <w:rPr>
          <w:rFonts w:ascii="Times New Roman" w:hAnsi="Times New Roman" w:cs="Times New Roman"/>
          <w:noProof/>
          <w:lang w:val="tr-TR"/>
        </w:rPr>
        <w:t xml:space="preserve">, no. 48555/10 ve 48377/10, § 141, 13 Ekim 2015). Mahkeme, bu bağlamda, Türkiye </w:t>
      </w:r>
      <w:r w:rsidR="00DA1D16">
        <w:rPr>
          <w:rFonts w:ascii="Times New Roman" w:hAnsi="Times New Roman" w:cs="Times New Roman"/>
          <w:noProof/>
          <w:lang w:val="tr-TR"/>
        </w:rPr>
        <w:t>dâhil</w:t>
      </w:r>
      <w:r w:rsidRPr="003D5488">
        <w:rPr>
          <w:rFonts w:ascii="Times New Roman" w:hAnsi="Times New Roman" w:cs="Times New Roman"/>
          <w:noProof/>
          <w:lang w:val="tr-TR"/>
        </w:rPr>
        <w:t xml:space="preserve"> Sözleşmeci Devletlerin çoğunda mevcut olan siyasi dokunulmazlık kuralının, söz konusu güvence içi</w:t>
      </w:r>
      <w:r w:rsidR="00603E1A">
        <w:rPr>
          <w:rFonts w:ascii="Times New Roman" w:hAnsi="Times New Roman" w:cs="Times New Roman"/>
          <w:noProof/>
          <w:lang w:val="tr-TR"/>
        </w:rPr>
        <w:t>n çok önemli olduğunu kaydeder.</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387.  Mahkeme ayrıca, Sözleşme'ye Ek 1 Numaralı Protokol'ün 3. maddesinde yer alan hakların mutlak olmadığını yinelemektedir (bakınız </w:t>
      </w:r>
      <w:r w:rsidRPr="003D5488">
        <w:rPr>
          <w:rFonts w:ascii="Times New Roman" w:hAnsi="Times New Roman" w:cs="Times New Roman"/>
          <w:i/>
          <w:iCs/>
          <w:noProof/>
          <w:lang w:val="tr-TR"/>
        </w:rPr>
        <w:t>Etxeberria ve diğerleri v. İspanya</w:t>
      </w:r>
      <w:r w:rsidRPr="003D5488">
        <w:rPr>
          <w:rFonts w:ascii="Times New Roman" w:hAnsi="Times New Roman" w:cs="Times New Roman"/>
          <w:noProof/>
          <w:lang w:val="tr-TR"/>
        </w:rPr>
        <w:t xml:space="preserve">, no. 35579/03 ve diğerleri, § 48, 30 Haziran 2009). "Zımni sınırlamalara" yer vardır ve Sözleşmeci Devletler bu alanda geniş bir takdir payına sahiptir (bakınız </w:t>
      </w:r>
      <w:r w:rsidRPr="003D5488">
        <w:rPr>
          <w:rFonts w:ascii="Times New Roman" w:hAnsi="Times New Roman" w:cs="Times New Roman"/>
          <w:i/>
          <w:iCs/>
          <w:noProof/>
          <w:lang w:val="tr-TR"/>
        </w:rPr>
        <w:t>Mathieu-Mohin ve Clerfayt</w:t>
      </w:r>
      <w:r w:rsidRPr="003D5488">
        <w:rPr>
          <w:rFonts w:ascii="Times New Roman" w:hAnsi="Times New Roman" w:cs="Times New Roman"/>
          <w:noProof/>
          <w:lang w:val="tr-TR"/>
        </w:rPr>
        <w:t xml:space="preserve">, yukarıda anılan, § 52; </w:t>
      </w:r>
      <w:r w:rsidRPr="003D5488">
        <w:rPr>
          <w:rFonts w:ascii="Times New Roman" w:hAnsi="Times New Roman" w:cs="Times New Roman"/>
          <w:i/>
          <w:iCs/>
          <w:noProof/>
          <w:lang w:val="tr-TR"/>
        </w:rPr>
        <w:t>Podkolzina v. Letonya</w:t>
      </w:r>
      <w:r w:rsidRPr="003D5488">
        <w:rPr>
          <w:rFonts w:ascii="Times New Roman" w:hAnsi="Times New Roman" w:cs="Times New Roman"/>
          <w:noProof/>
          <w:lang w:val="tr-TR"/>
        </w:rPr>
        <w:t xml:space="preserve">, no. 46726/99, § 33, ECHR 2002-II; yukarıda anılan </w:t>
      </w:r>
      <w:r w:rsidRPr="003D5488">
        <w:rPr>
          <w:rFonts w:ascii="Times New Roman" w:hAnsi="Times New Roman" w:cs="Times New Roman"/>
          <w:i/>
          <w:iCs/>
          <w:noProof/>
          <w:lang w:val="tr-TR"/>
        </w:rPr>
        <w:t>Sadak ve diğerleri</w:t>
      </w:r>
      <w:r w:rsidRPr="003D5488">
        <w:rPr>
          <w:rFonts w:ascii="Times New Roman" w:hAnsi="Times New Roman" w:cs="Times New Roman"/>
          <w:noProof/>
          <w:lang w:val="tr-TR"/>
        </w:rPr>
        <w:t xml:space="preserve">, § 31; ve yukarıda anılan </w:t>
      </w:r>
      <w:r w:rsidRPr="003D5488">
        <w:rPr>
          <w:rFonts w:ascii="Times New Roman" w:hAnsi="Times New Roman" w:cs="Times New Roman"/>
          <w:i/>
          <w:iCs/>
          <w:noProof/>
          <w:lang w:val="tr-TR"/>
        </w:rPr>
        <w:t>Kavakçı</w:t>
      </w:r>
      <w:r w:rsidRPr="003D5488">
        <w:rPr>
          <w:rFonts w:ascii="Times New Roman" w:hAnsi="Times New Roman" w:cs="Times New Roman"/>
          <w:noProof/>
          <w:lang w:val="tr-TR"/>
        </w:rPr>
        <w:t xml:space="preserve">, § 40). Bununla birlikte, Sözleşme’ye Ek 1 Numaralı Protokol’ün 3. maddesinin gereklerine uyulup uyulmadığını nihai olarak belirlemek Mahkeme'ye kalmıştır. Mahkeme, Sözleşme’ye Ek 1 Numaralı Protokol’ün 3. maddesi kapsamındaki hakların kullanımına getirilen sınırlamaların, söz konusu hakların özlerini zedeleyecek ve etkililiklerinden mahrum bırakacak ölçüde kısıtlamadıkları; meşru bir amaç için dayatıldıkları; ve kullanılan araçların orantısız olmadığı konusunda kanaat getirmelidir (bakınız </w:t>
      </w:r>
      <w:r w:rsidRPr="003D5488">
        <w:rPr>
          <w:rFonts w:ascii="Times New Roman" w:hAnsi="Times New Roman" w:cs="Times New Roman"/>
          <w:i/>
          <w:iCs/>
          <w:noProof/>
          <w:lang w:val="tr-TR"/>
        </w:rPr>
        <w:t>Mathieu-Mohin ve Clerfayt</w:t>
      </w:r>
      <w:r w:rsidR="00603E1A">
        <w:rPr>
          <w:rFonts w:ascii="Times New Roman" w:hAnsi="Times New Roman" w:cs="Times New Roman"/>
          <w:noProof/>
          <w:lang w:val="tr-TR"/>
        </w:rPr>
        <w:t>, yukarıda anılan, § 52).</w:t>
      </w:r>
    </w:p>
    <w:p w:rsidR="005B5EC2" w:rsidRPr="00603E1A" w:rsidRDefault="005B5EC2" w:rsidP="00603E1A">
      <w:pPr>
        <w:pStyle w:val="JuPara"/>
        <w:rPr>
          <w:rFonts w:ascii="Times New Roman" w:eastAsia="Times New Roman" w:hAnsi="Times New Roman" w:cs="Times New Roman"/>
          <w:noProof/>
          <w:lang w:val="tr-TR"/>
        </w:rPr>
      </w:pPr>
      <w:r w:rsidRPr="003D5488">
        <w:rPr>
          <w:rFonts w:ascii="Times New Roman" w:eastAsia="Times New Roman" w:hAnsi="Times New Roman" w:cs="Times New Roman"/>
          <w:noProof/>
          <w:lang w:val="tr-TR" w:eastAsia="fr-FR"/>
        </w:rPr>
        <w:t>388.  </w:t>
      </w:r>
      <w:r w:rsidRPr="003D5488">
        <w:rPr>
          <w:rFonts w:ascii="Times New Roman" w:eastAsia="Times New Roman" w:hAnsi="Times New Roman" w:cs="Times New Roman"/>
          <w:noProof/>
          <w:lang w:val="tr-TR"/>
        </w:rPr>
        <w:t xml:space="preserve">Mahkeme’nin Sözleşme'nin 8. ila 11. maddeleri kapsamındaki analizleri bağlamında kullandığı geleneksel "gereklilik" veya "acil sosyal ihtiyaç" testleri anlamına gelen "zımni sınırlamalar" kavramı 1 Numaralı Protokol'ün 3. maddesine ilişkin davalarda uygulanmaz. Daha ziyade, Mahkeme öncelikle keyfi muamele mi yoksa orantılılık eksikliği mi olduğunu tespit etmeye çalışır. Daha sonra, sınırlamanın, insanların </w:t>
      </w:r>
      <w:r w:rsidRPr="003D5488">
        <w:rPr>
          <w:rFonts w:ascii="Times New Roman" w:eastAsia="Times New Roman" w:hAnsi="Times New Roman" w:cs="Times New Roman"/>
          <w:noProof/>
          <w:lang w:val="tr-TR"/>
        </w:rPr>
        <w:lastRenderedPageBreak/>
        <w:t xml:space="preserve">fikirlerinin özgürce ifade edilmesine müdahale edip etmediğini inceler (bakınız </w:t>
      </w:r>
      <w:r w:rsidRPr="003D5488">
        <w:rPr>
          <w:rFonts w:ascii="Times New Roman" w:eastAsia="Times New Roman" w:hAnsi="Times New Roman" w:cs="Times New Roman"/>
          <w:i/>
          <w:iCs/>
          <w:noProof/>
          <w:lang w:val="tr-TR"/>
        </w:rPr>
        <w:t>Mathieu-Mohin ve Clerfayt</w:t>
      </w:r>
      <w:r w:rsidRPr="003D5488">
        <w:rPr>
          <w:rFonts w:ascii="Times New Roman" w:eastAsia="Times New Roman" w:hAnsi="Times New Roman" w:cs="Times New Roman"/>
          <w:noProof/>
          <w:lang w:val="tr-TR"/>
        </w:rPr>
        <w:t xml:space="preserve">, yukarıda anılan, § 52 ve yukarıda anılan </w:t>
      </w:r>
      <w:r w:rsidRPr="003D5488">
        <w:rPr>
          <w:rFonts w:ascii="Times New Roman" w:eastAsia="Times New Roman" w:hAnsi="Times New Roman" w:cs="Times New Roman"/>
          <w:i/>
          <w:iCs/>
          <w:noProof/>
          <w:lang w:val="tr-TR"/>
        </w:rPr>
        <w:t>Ždanoka</w:t>
      </w:r>
      <w:r w:rsidR="00603E1A">
        <w:rPr>
          <w:rFonts w:ascii="Times New Roman" w:eastAsia="Times New Roman" w:hAnsi="Times New Roman" w:cs="Times New Roman"/>
          <w:noProof/>
          <w:lang w:val="tr-TR"/>
        </w:rPr>
        <w:t>, § 115).</w:t>
      </w:r>
    </w:p>
    <w:p w:rsidR="005B5EC2"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389.  Milletvekillerinin özgürlüklerinden yoksun bırakıldığı durumlarla ilgili olarak, Mahkeme, seçilmiş bir milletvekilinin tutukluluğunun meclis görevlerinin yerine getirilmesi üzerindeki etkilerine ilişkin Sözleşme’ye Ek 1 Numaralı Protokol’ün 3. maddesi kapsamındaki bir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 xml:space="preserve">e henüz karar vermemiştir. Bu bağlamda, Sözleşme’ye Ek 1 Numaralı Protokol’ün 3. maddesi, bir milletvekilini veya milletvekilliği seçimlerinde bir adayı özgürlüğünden mahrum bırakan bir tedbirin uygulanmasını engellemez. Başka bir deyişle, böyle bir tedbirin uygulanması, otomatik olarak bu maddenin ihlali anlamına gelmez. Bununla birlikte, demokratik bir toplumda bir milletvekilinin özgürlük ve güvenlik hakkının önemi açısından, yerel mahkemeler, kendi takdir yetkilerini kullanırken, bir kişinin ilk ve/veya devam eden tutukluluk emrini verirken, ilgili çıkarları, özellikle 1 Numaralı Protokol'ün 3. maddesi ile korunan ilgili kişinin çıkarlarını, ceza yargılamaları bağlamında gerekli olduğu hallerde, söz konusu kişiyi özgürlüğünden mahrum bırakan müdahaleyi kamu yararına karşı tartmış olduklarını göstermelidirler. Bu dengeleme uygulamasındaki önemli bir unsur, suçlamaların siyasi bir temeli olup olmadığıdır (bakınız </w:t>
      </w:r>
      <w:r w:rsidRPr="003D5488">
        <w:rPr>
          <w:rFonts w:ascii="Times New Roman" w:hAnsi="Times New Roman" w:cs="Times New Roman"/>
          <w:i/>
          <w:iCs/>
          <w:noProof/>
          <w:lang w:val="tr-TR"/>
        </w:rPr>
        <w:t>Uspaskich v. Litvanya</w:t>
      </w:r>
      <w:r w:rsidRPr="003D5488">
        <w:rPr>
          <w:rFonts w:ascii="Times New Roman" w:hAnsi="Times New Roman" w:cs="Times New Roman"/>
          <w:noProof/>
          <w:lang w:val="tr-TR"/>
        </w:rPr>
        <w:t>, no. 14737/08, § 94, 20 Aralık 2016). O halde Mahkeme’nin rolü, ulusal mahkemelerin kararlarını, ilgili yerel makamların yerini almadan Sözleşme açısından incelemektir</w:t>
      </w:r>
    </w:p>
    <w:p w:rsidR="00603E1A" w:rsidRPr="003D5488" w:rsidRDefault="00603E1A" w:rsidP="005B5EC2">
      <w:pPr>
        <w:pStyle w:val="JuPara"/>
        <w:rPr>
          <w:rFonts w:ascii="Times New Roman" w:hAnsi="Times New Roman" w:cs="Times New Roman"/>
          <w:noProof/>
          <w:lang w:val="tr-TR"/>
        </w:rPr>
      </w:pPr>
    </w:p>
    <w:p w:rsidR="005B5EC2" w:rsidRPr="003D5488" w:rsidRDefault="005B5EC2" w:rsidP="00603E1A">
      <w:pPr>
        <w:pStyle w:val="Balk3"/>
        <w:rPr>
          <w:noProof/>
        </w:rPr>
      </w:pPr>
      <w:r w:rsidRPr="003D5488">
        <w:rPr>
          <w:noProof/>
        </w:rPr>
        <w:t>Yukarıdaki İlkelerin Mevcut Davaya Uygulanması</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390.  Mevcut davadaki başvurucu, tutukluluğunu gerçekte milletvekili olarak mecliste yer almasını engellemeyi amaçlayan siyasi bir önlem olarak görmüştür. Tutuklanmasının meclis görevlerinin etkili bir şekilde yerine getirilmesi üzerindeki etkilerini dikkate alarak, Mahkeme, öncelikle Sözleşme'ye Ek 1 Numaralı Protokol'ün 3. maddesi kapsamındaki haklarının kullanımına bir müdahale </w:t>
      </w:r>
      <w:r w:rsidR="00603E1A">
        <w:rPr>
          <w:rFonts w:ascii="Times New Roman" w:hAnsi="Times New Roman" w:cs="Times New Roman"/>
          <w:noProof/>
          <w:lang w:val="tr-TR"/>
        </w:rPr>
        <w:t>olup olmadığını belirlemelidir.</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391.  Bu bağlamda Mahkeme, Hükümet'in başvurucunun Sözleşme’ye Ek 1 Numaralı Protokol’ün 3. maddesi uyarınca yaptığı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 xml:space="preserve">in mağdur statüsünün olmaması nedeniyle kabul edilemez olarak ilan edilmesi gerektiği yönündeki iddiasını kabul edemez. Daire’nin işaret ettiği gibi, serbest seçim hakkı sadece milletvekilliği seçimlerine katılma fırsatıyla sınırlı değildir; söz konusu kişi, seçildikten sonra milletvekili olarak da mecliste yer almaya hak kazanır. Mevcut davada, 4 Kasım 2016 ile 24 Haziran 2018 tarihleri ​​arasında, başvurucu, tutukluluğunun bir sonucu olarak Millet Meclisi tutanaklarına katılamamıştır. Yani bir yıl, yedi ay ve yirmi gün boyunca yasama meclisinin faaliyetlerinde yer alması engellenmiştir. Meclisteki koltuğunu korumasına ve soruları yazılı olarak sorma fırsatı bulmasına rağmen Mahkeme, başvurucunun tutukluluk halinin, Sözleşme’ye Ek 1 Numaralı Protokol’ün 3. maddesi kapsamındaki </w:t>
      </w:r>
      <w:r w:rsidRPr="003D5488">
        <w:rPr>
          <w:rFonts w:ascii="Times New Roman" w:hAnsi="Times New Roman" w:cs="Times New Roman"/>
          <w:noProof/>
          <w:lang w:val="tr-TR"/>
        </w:rPr>
        <w:lastRenderedPageBreak/>
        <w:t xml:space="preserve">haklarının kullanımına bir müdahale teşkil ettiğini kabul etmektedir. Bu nedenle, Hükümet tarafından </w:t>
      </w:r>
      <w:r w:rsidR="00603E1A">
        <w:rPr>
          <w:rFonts w:ascii="Times New Roman" w:hAnsi="Times New Roman" w:cs="Times New Roman"/>
          <w:noProof/>
          <w:lang w:val="tr-TR"/>
        </w:rPr>
        <w:t>yapılan itirazı reddetmektedir.</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392.  Mahkeme, Sözleşme'nin 10. maddesi ve 1 Numaralı Protokol'ün 3. maddesi kapsamındaki hakların birbiriyle ilişkili olduğunu ve birbirini güçlendirmek için işlediğini hatırlatır (bakınız </w:t>
      </w:r>
      <w:r w:rsidRPr="003D5488">
        <w:rPr>
          <w:rFonts w:ascii="Times New Roman" w:hAnsi="Times New Roman" w:cs="Times New Roman"/>
          <w:i/>
          <w:iCs/>
          <w:noProof/>
          <w:lang w:val="tr-TR"/>
        </w:rPr>
        <w:t>Bowman v. Birleşik Krallık</w:t>
      </w:r>
      <w:r w:rsidRPr="003D5488">
        <w:rPr>
          <w:rFonts w:ascii="Times New Roman" w:hAnsi="Times New Roman" w:cs="Times New Roman"/>
          <w:noProof/>
          <w:lang w:val="tr-TR"/>
        </w:rPr>
        <w:t xml:space="preserve">, 19 Şubat 1998, § 42, Reports of Judgments and Decisions 1998 I). Bu birbirine bağımlılık durumu, siyasi görüşlerini ifade ettikleri için tutuklu bulunan demokratik olarak seçilmiş temsilcilerin durumunda özellikle belirgindir. Milletvekilleri seçmenlerini temsil ederler ve bu nedenle ifade özgürlükleri daha fazla koruma gerektirir. Çoğulculuk, hoşgörü ve açık fikirlilik gerekleri doğrultusunda milletvekillerinin, özellikle muhalefet partilerinin ifade özgürlüğüne verdiği önemi göz önünde bulundurarak, Mahkeme, bir milletvekilinin tutukluluğunun Sözleşme'nin 10. maddesiyle uyumlu sayılamayacağı durumlarda, 1 Numaralı Protokol'ün 3. maddesini </w:t>
      </w:r>
      <w:r w:rsidR="00603E1A">
        <w:rPr>
          <w:rFonts w:ascii="Times New Roman" w:hAnsi="Times New Roman" w:cs="Times New Roman"/>
          <w:noProof/>
          <w:lang w:val="tr-TR"/>
        </w:rPr>
        <w:t>de ihlal edeceği kanaatindedir.</w:t>
      </w:r>
    </w:p>
    <w:p w:rsidR="005B5EC2" w:rsidRPr="003D5488" w:rsidRDefault="005B5EC2" w:rsidP="005B5EC2">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393.  Ayrıca Mahkeme, bir bireyin tutuklanmasının, sadece başka, daha az sert tedbirlerin düşünüldüğü ve ilgili kişinin tutuklanmasını gerektirebilecek bireyi veya kamu menfaatini korumak için yetersiz kaldığı durumlarda haklı çıkan temel hakların kullanılmasına çok ciddi bir müdahale olduğuna hükmetmiştir (bakınız  </w:t>
      </w:r>
      <w:r w:rsidRPr="003D5488">
        <w:rPr>
          <w:rFonts w:ascii="Times New Roman" w:hAnsi="Times New Roman" w:cs="Times New Roman"/>
          <w:i/>
          <w:iCs/>
          <w:noProof/>
          <w:lang w:val="tr-TR"/>
        </w:rPr>
        <w:t xml:space="preserve">Stanev v. Bulgaristan </w:t>
      </w:r>
      <w:r w:rsidRPr="003D5488">
        <w:rPr>
          <w:rFonts w:ascii="Times New Roman" w:hAnsi="Times New Roman" w:cs="Times New Roman"/>
          <w:iCs/>
          <w:noProof/>
          <w:lang w:val="tr-TR"/>
        </w:rPr>
        <w:t>[</w:t>
      </w:r>
      <w:r w:rsidRPr="003D5488">
        <w:rPr>
          <w:rFonts w:ascii="Times New Roman" w:hAnsi="Times New Roman" w:cs="Times New Roman"/>
          <w:noProof/>
          <w:lang w:val="tr-TR"/>
        </w:rPr>
        <w:t xml:space="preserve">BD], no. 36760/06, § 143, ECHR 2012). Aslında, tutukluluk geçici bir önlemdir ve süresi olabildiğince kısa olmalıdır. Bu hususlar, evleviyetle bir </w:t>
      </w:r>
      <w:r w:rsidR="001302A1">
        <w:rPr>
          <w:rFonts w:ascii="Times New Roman" w:hAnsi="Times New Roman" w:cs="Times New Roman"/>
          <w:noProof/>
          <w:lang w:val="tr-TR"/>
        </w:rPr>
        <w:t>milletvekili</w:t>
      </w:r>
      <w:r w:rsidRPr="003D5488">
        <w:rPr>
          <w:rFonts w:ascii="Times New Roman" w:hAnsi="Times New Roman" w:cs="Times New Roman"/>
          <w:noProof/>
          <w:lang w:val="tr-TR"/>
        </w:rPr>
        <w:t xml:space="preserve">nin tutukluluk halleri için geçerlidir. Bir demokraside, Meclis, parlamenter görevlerin yerine getirilmesinin bir parçası olan siyasi tartışma için temel bir forumdur (bakınız, kıyasen, </w:t>
      </w:r>
      <w:r w:rsidRPr="003D5488">
        <w:rPr>
          <w:rFonts w:ascii="Times New Roman" w:hAnsi="Times New Roman" w:cs="Times New Roman"/>
          <w:i/>
          <w:iCs/>
          <w:noProof/>
          <w:lang w:val="tr-TR"/>
        </w:rPr>
        <w:t>Cordova (no. 1)</w:t>
      </w:r>
      <w:r w:rsidRPr="003D5488">
        <w:rPr>
          <w:rFonts w:ascii="Times New Roman" w:hAnsi="Times New Roman" w:cs="Times New Roman"/>
          <w:noProof/>
          <w:lang w:val="tr-TR"/>
        </w:rPr>
        <w:t>, yukarıda anılan, § 59). Milletvekilleri, görev süreleri boyunca hizmet ederken seçmenlerini temsil eder, endişelerine dikkat çeker ve çıkarlarını savunurlar.</w:t>
      </w:r>
    </w:p>
    <w:p w:rsidR="005B5EC2" w:rsidRPr="003D5488" w:rsidRDefault="005B5EC2" w:rsidP="005B5EC2">
      <w:pPr>
        <w:pStyle w:val="JuPara"/>
        <w:rPr>
          <w:rFonts w:ascii="Times New Roman" w:hAnsi="Times New Roman" w:cs="Times New Roman"/>
          <w:noProof/>
          <w:lang w:val="tr-TR"/>
        </w:rPr>
      </w:pPr>
    </w:p>
    <w:p w:rsidR="005B5EC2" w:rsidRPr="003D5488" w:rsidRDefault="005B5EC2" w:rsidP="00603E1A">
      <w:pPr>
        <w:pStyle w:val="JuPara"/>
        <w:rPr>
          <w:rFonts w:ascii="Times New Roman" w:hAnsi="Times New Roman" w:cs="Times New Roman"/>
          <w:noProof/>
          <w:lang w:val="tr-TR"/>
        </w:rPr>
      </w:pPr>
      <w:r w:rsidRPr="003D5488">
        <w:rPr>
          <w:rFonts w:ascii="Times New Roman" w:eastAsia="Times New Roman" w:hAnsi="Times New Roman" w:cs="Times New Roman"/>
          <w:noProof/>
          <w:lang w:val="tr-TR" w:eastAsia="fr-FR"/>
        </w:rPr>
        <w:t>394.  </w:t>
      </w:r>
      <w:r w:rsidRPr="003D5488">
        <w:rPr>
          <w:rFonts w:ascii="Times New Roman" w:hAnsi="Times New Roman" w:cs="Times New Roman"/>
          <w:noProof/>
          <w:lang w:val="tr-TR"/>
        </w:rPr>
        <w:t xml:space="preserve">Mevcut davada Mahkeme, Sözleşme'nin 10. maddesi ve 5. maddesinin 1. fıkrasının ihlal edildiğine dair yukarıdaki tespitlerine atıfta bulunmaktadır. Mahkeme, 10. madde uyarınca, bir siyasetçi olarak görüşlerini ifade ettiği için tutuklanması şeklinde başvurucunun ifade özgürlüğünün kullanılmasına müdahalenin, öngörülebilirlik gerekliliğini sağlamadığı için "kanunla belirlenmediğine" karar vermiştir.  Mahkeme, özellikle, söz konusu konuşmaların, Anayasa'nın 83. maddesinin 1. fıkrasında belirtildiği üzere, başvurucunun yasama dokunulmazlığı kapsamında olup olmadığına ilişkin yerel mahkemelerin herhangi bir inceleme yapmadığını tespit etmiştir. Ayrıca, Sözleşme’nin 5. maddesinin 1. fıkrasının gerektirdiği şekilde, başvurucunun bir suç işlediğine dair makul bir şüphenin bulunmadığını tespit etmiştir. Bu bulgular, Sözleşme’ye Ek 1 Numaralı Protokol’ün 3. maddesinin amaçlarıyla da aynı derecede ilgilidir. Gerçekten, Mahkeme, yasama dokunulmazlığının, </w:t>
      </w:r>
      <w:r w:rsidR="001302A1">
        <w:rPr>
          <w:rFonts w:ascii="Times New Roman" w:hAnsi="Times New Roman" w:cs="Times New Roman"/>
          <w:noProof/>
          <w:lang w:val="tr-TR"/>
        </w:rPr>
        <w:t>milletvekil</w:t>
      </w:r>
      <w:r w:rsidRPr="003D5488">
        <w:rPr>
          <w:rFonts w:ascii="Times New Roman" w:hAnsi="Times New Roman" w:cs="Times New Roman"/>
          <w:noProof/>
          <w:lang w:val="tr-TR"/>
        </w:rPr>
        <w:t xml:space="preserve">lerine bireysel olarak değil, meclis kurumuna, sorunsuz çalışmasını garanti altına almak için verilen bir ayrıcalık olduğunu yinelemektedir (bakınız yukarıda anılan </w:t>
      </w:r>
      <w:r w:rsidRPr="003D5488">
        <w:rPr>
          <w:rFonts w:ascii="Times New Roman" w:hAnsi="Times New Roman" w:cs="Times New Roman"/>
          <w:i/>
          <w:iCs/>
          <w:noProof/>
          <w:lang w:val="tr-TR"/>
        </w:rPr>
        <w:lastRenderedPageBreak/>
        <w:t>Kart,</w:t>
      </w:r>
      <w:r w:rsidRPr="003D5488">
        <w:rPr>
          <w:rFonts w:ascii="Times New Roman" w:hAnsi="Times New Roman" w:cs="Times New Roman"/>
          <w:noProof/>
          <w:lang w:val="tr-TR"/>
        </w:rPr>
        <w:t xml:space="preserve"> § 53). Bu bağlamda, bir Devlet, yargılama ve özgürlükten yoksun bırakma konusunda yasama dokunulmazlığı sağlıyorsa, yerel mahkemeler öncelikle ilgili milletvekilinin suçlandığı eylemler için yasama dokunulmazlığına sahip olmadığından emin olmak zorundadır. Ancak mevcut davada, başvurucunun Ağır Ceza Mahkemesi’nden itiraz konusu konuşmaların Türkiye Cumhuriyeti Anayasası'nın 83. maddesinin 1. fıkrası kapsamında korunup korunmadığını incelemesini istemesine rağmen, yerel mahkemeler böyle bir inceleme yapmamış, dolayısıyla Sözleşme’ye Ek 1 Numaralı Protokol'ün 3. maddesi kapsamındaki usule ilişkin yükümlülüklerini yerine getirmemişlerdir (bakınız yukarıda </w:t>
      </w:r>
      <w:r w:rsidR="00603E1A">
        <w:rPr>
          <w:rFonts w:ascii="Times New Roman" w:hAnsi="Times New Roman" w:cs="Times New Roman"/>
          <w:noProof/>
          <w:lang w:val="tr-TR"/>
        </w:rPr>
        <w:t>70, 77, 80 ve 91. paragraflar).</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395.  Buna ek olarak, bir milletvekili özgürlüğünden yoksun bırakıldığında, bu tedbiri emreden adli makamların, çatışan menfaatleri tarttıklarını göstermeleri gerekir. Bu dengeleme tatbikini</w:t>
      </w:r>
      <w:r w:rsidR="001302A1">
        <w:rPr>
          <w:rFonts w:ascii="Times New Roman" w:hAnsi="Times New Roman" w:cs="Times New Roman"/>
          <w:noProof/>
          <w:lang w:val="tr-TR"/>
        </w:rPr>
        <w:t>n bir parçası olarak, ilgili milletvekil</w:t>
      </w:r>
      <w:r w:rsidRPr="003D5488">
        <w:rPr>
          <w:rFonts w:ascii="Times New Roman" w:hAnsi="Times New Roman" w:cs="Times New Roman"/>
          <w:noProof/>
          <w:lang w:val="tr-TR"/>
        </w:rPr>
        <w:t xml:space="preserve">inin siyasi görüşlerini ifade etme özgürlüğünü korumalıdırlar. Özellikle, iddia edilen suçun siyasi faaliyetiyle doğrudan bağlantılı olmadığından emin olmalıdırlar. Bu bağlamda, Üye Devletlerin hukuk sistemleri, tutuklanan bir </w:t>
      </w:r>
      <w:r w:rsidR="001302A1" w:rsidRPr="001302A1">
        <w:rPr>
          <w:rFonts w:ascii="Times New Roman" w:hAnsi="Times New Roman" w:cs="Times New Roman"/>
          <w:noProof/>
          <w:lang w:val="tr-TR"/>
        </w:rPr>
        <w:t xml:space="preserve">milletvekilinin </w:t>
      </w:r>
      <w:r w:rsidRPr="003D5488">
        <w:rPr>
          <w:rFonts w:ascii="Times New Roman" w:hAnsi="Times New Roman" w:cs="Times New Roman"/>
          <w:noProof/>
          <w:lang w:val="tr-TR"/>
        </w:rPr>
        <w:t xml:space="preserve">bu tedbire etkili bir şekilde itiraz edebilmesi ve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 xml:space="preserve">lerinin esasa ilişkin olarak incelenmesini sağlayacak bir çözüm sunmalıdır. Ancak mevcut davada Hükümet, başvurucunun tutukluluğunu inceleme yetkisine sahip yerel mahkemelerin ilk ve devam eden mahkeme öncesi tutukluluğunun hukukiliğine karar verirken 1 Numaralı Protokol'ün 3. maddesi açısından bir dengeleme tatbiki gerçekleştirdiğini gösterememiştir. Mahkeme, Anayasa Mahkemesi’nin söz konusu suçların doğrudan başvurucunun siyasi faaliyetleriyle bağlantılı olup olmadığını incelemediğini not etmektedir. 21 Aralık 2017 tarihli kararında, başvurucunun milletvekili statüsü nedeniyle tutukluluğunun serbest seçim hakkını ihlal ettiği yönündeki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 xml:space="preserve">ini kabul edilemez bularak reddetmiştir. 9 Haziran 2020 tarihli son kararında, Anayasa Mahkemesinin kabul ettiği üzere, alt mahkemelerin, başvurucunun, bir milletvekili, bir siyasi partinin eş genel başkanı ve cumhurbaşkanlığı seçiminde aday olması nedeniyle, devam eden tutukluluğunun gerekçesiz olduğu yönündeki iddialarını dikkate almamış, yalnızca tutukluluğunun süresine ilişkin </w:t>
      </w:r>
      <w:r w:rsidR="007E3DD1" w:rsidRPr="003D5488">
        <w:rPr>
          <w:rFonts w:ascii="Times New Roman" w:hAnsi="Times New Roman" w:cs="Times New Roman"/>
          <w:noProof/>
          <w:lang w:val="tr-TR"/>
        </w:rPr>
        <w:t>şikâyet</w:t>
      </w:r>
      <w:r w:rsidRPr="003D5488">
        <w:rPr>
          <w:rFonts w:ascii="Times New Roman" w:hAnsi="Times New Roman" w:cs="Times New Roman"/>
          <w:noProof/>
          <w:lang w:val="tr-TR"/>
        </w:rPr>
        <w:t>iyle ilgili bir karar vermiştir. Mahkeme, yargı makamlarının başvuranın sadece milletvekili değil, aynı zamanda Türkiye'deki siyasi muhalefet liderlerinden biri olduğunu ve meclis görevlerini yerine getirirken yüksek düzeyde koruma gerektirdiği gerçeğini etkili bir şekilde dikkate almadıkları sonucuna varmaktadır.</w:t>
      </w:r>
    </w:p>
    <w:p w:rsidR="005B5EC2" w:rsidRPr="003D5488" w:rsidRDefault="005B5EC2" w:rsidP="00603E1A">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396.  Ayrıca, Anayasa Mahkemesi 21 Aralık 2017 tarihli kararında muhalefet şerhinde de belirtildiği üzere, başvurucunun özel davasında tutukluluğa alternatif bir tedbirin uygulanmasının neden yetersiz olacağının nedenleri ilk derece mahkemeleri tarafından açıklanmamıştır. Hükümet, yerel mahkemelerin tutukluluğa iç hukukta öngörülen alternatif tedbirlerin uygulanmasını gerçekten değerlendirdiklerini gösterememiştir. Gerçek şu </w:t>
      </w:r>
      <w:r w:rsidRPr="003D5488">
        <w:rPr>
          <w:rFonts w:ascii="Times New Roman" w:hAnsi="Times New Roman" w:cs="Times New Roman"/>
          <w:noProof/>
          <w:lang w:val="tr-TR"/>
        </w:rPr>
        <w:lastRenderedPageBreak/>
        <w:t>ki, ulusal mahkemeler, başvurucunun münferit davasına ilişkin herhangi bir özel neden belirtmeden, sistematik olarak bu tür tedbirlerin yet</w:t>
      </w:r>
      <w:r w:rsidR="00603E1A">
        <w:rPr>
          <w:rFonts w:ascii="Times New Roman" w:hAnsi="Times New Roman" w:cs="Times New Roman"/>
          <w:noProof/>
          <w:lang w:val="tr-TR"/>
        </w:rPr>
        <w:t>ersiz olduğuna karar vermiştir.</w:t>
      </w:r>
    </w:p>
    <w:p w:rsidR="005B5EC2" w:rsidRPr="003D5488" w:rsidRDefault="005B5EC2" w:rsidP="00CD0238">
      <w:pPr>
        <w:pStyle w:val="JuPara"/>
        <w:rPr>
          <w:rFonts w:ascii="Times New Roman" w:hAnsi="Times New Roman" w:cs="Times New Roman"/>
          <w:noProof/>
          <w:lang w:val="tr-TR"/>
        </w:rPr>
      </w:pPr>
      <w:r w:rsidRPr="003D5488">
        <w:rPr>
          <w:rFonts w:ascii="Times New Roman" w:hAnsi="Times New Roman" w:cs="Times New Roman"/>
          <w:noProof/>
          <w:lang w:val="tr-TR"/>
        </w:rPr>
        <w:t xml:space="preserve">397.  Yukarıda belirtilen tüm mülahazaları göz önünde bulundurarak Mahkeme, başvurucunun görev süresi boyunca milletvekili statüsünü korumasına gerçeğine rağmen, tutukluluğunun, halkın kanaatlerinin özgürce ifade edilmesine ve seçilme ve mecliste hakkına haksız bir müdahale teşkil ettiği için Ulusal Meclis faaliyetlerine katılmasının fiilen </w:t>
      </w:r>
      <w:r w:rsidR="00DA1D16">
        <w:rPr>
          <w:rFonts w:ascii="Times New Roman" w:hAnsi="Times New Roman" w:cs="Times New Roman"/>
          <w:noProof/>
          <w:lang w:val="tr-TR"/>
        </w:rPr>
        <w:t>imkân</w:t>
      </w:r>
      <w:r w:rsidRPr="003D5488">
        <w:rPr>
          <w:rFonts w:ascii="Times New Roman" w:hAnsi="Times New Roman" w:cs="Times New Roman"/>
          <w:noProof/>
          <w:lang w:val="tr-TR"/>
        </w:rPr>
        <w:t>sız olduğu sonucuna varmıştır. Mahkeme, bu nedenle, başvurucunun tutukluluğunun, Sözleşme’ye Ek 1 Numaralı Protokol’ün 3. maddesi kapsamındaki seçilme ve Meclis’te bulunma hakkının özüne ay</w:t>
      </w:r>
      <w:r w:rsidR="00CD0238">
        <w:rPr>
          <w:rFonts w:ascii="Times New Roman" w:hAnsi="Times New Roman" w:cs="Times New Roman"/>
          <w:noProof/>
          <w:lang w:val="tr-TR"/>
        </w:rPr>
        <w:t>kırı olduğu sonucuna varmıştır.</w:t>
      </w:r>
    </w:p>
    <w:p w:rsidR="004738DA" w:rsidRDefault="005B5EC2" w:rsidP="004738DA">
      <w:pPr>
        <w:pStyle w:val="JuPara"/>
        <w:rPr>
          <w:rFonts w:ascii="Times New Roman" w:hAnsi="Times New Roman" w:cs="Times New Roman"/>
          <w:noProof/>
          <w:lang w:val="tr-TR"/>
        </w:rPr>
      </w:pPr>
      <w:r w:rsidRPr="003D5488">
        <w:rPr>
          <w:rFonts w:ascii="Times New Roman" w:hAnsi="Times New Roman" w:cs="Times New Roman"/>
          <w:noProof/>
          <w:lang w:val="tr-TR"/>
        </w:rPr>
        <w:t>398.  Bu nedenle Sözleşme'ye Ek Sözleşme’ye Ek 1 Numaralı Protokol’</w:t>
      </w:r>
      <w:r w:rsidR="00FC42A3">
        <w:rPr>
          <w:rFonts w:ascii="Times New Roman" w:hAnsi="Times New Roman" w:cs="Times New Roman"/>
          <w:noProof/>
          <w:lang w:val="tr-TR"/>
        </w:rPr>
        <w:t>ün 3. m</w:t>
      </w:r>
      <w:r w:rsidR="004738DA">
        <w:rPr>
          <w:rFonts w:ascii="Times New Roman" w:hAnsi="Times New Roman" w:cs="Times New Roman"/>
          <w:noProof/>
          <w:lang w:val="tr-TR"/>
        </w:rPr>
        <w:t>addesi ihlal edilmiştir.</w:t>
      </w:r>
    </w:p>
    <w:p w:rsidR="004738DA" w:rsidRPr="004738DA" w:rsidRDefault="004738DA" w:rsidP="004738DA">
      <w:pPr>
        <w:pStyle w:val="JuPara"/>
        <w:rPr>
          <w:rFonts w:ascii="Times New Roman" w:hAnsi="Times New Roman" w:cs="Times New Roman"/>
          <w:noProof/>
          <w:lang w:val="tr-TR"/>
        </w:rPr>
      </w:pPr>
    </w:p>
    <w:p w:rsidR="004738DA" w:rsidRPr="00FD32FF" w:rsidRDefault="004738DA" w:rsidP="004738DA">
      <w:pPr>
        <w:pStyle w:val="Balk1"/>
      </w:pPr>
      <w:r w:rsidRPr="00FD32FF">
        <w:t xml:space="preserve">Sözleşme’nin 18. maddesinin ihlal edildiği iddiası </w:t>
      </w:r>
    </w:p>
    <w:p w:rsidR="004738DA" w:rsidRPr="00FD32FF" w:rsidRDefault="004738DA" w:rsidP="004738DA">
      <w:pPr>
        <w:shd w:val="clear" w:color="auto" w:fill="FFFFFF"/>
        <w:spacing w:after="0" w:line="276" w:lineRule="auto"/>
        <w:ind w:firstLine="284"/>
        <w:jc w:val="both"/>
        <w:rPr>
          <w:rFonts w:ascii="Times New Roman" w:eastAsia="Times New Roman" w:hAnsi="Times New Roman" w:cs="Times New Roman"/>
          <w:sz w:val="24"/>
          <w:szCs w:val="24"/>
          <w:lang w:eastAsia="tr-TR"/>
        </w:rPr>
      </w:pPr>
      <w:bookmarkStart w:id="38" w:name="dixhuitviolationdebut"/>
      <w:r w:rsidRPr="00FD32FF">
        <w:rPr>
          <w:rFonts w:ascii="Times New Roman" w:eastAsia="Times New Roman" w:hAnsi="Times New Roman" w:cs="Times New Roman"/>
          <w:sz w:val="24"/>
          <w:szCs w:val="24"/>
          <w:lang w:eastAsia="tr-TR"/>
        </w:rPr>
        <w:t>399</w:t>
      </w:r>
      <w:bookmarkEnd w:id="38"/>
      <w:r w:rsidRPr="00FD32FF">
        <w:rPr>
          <w:rFonts w:ascii="Times New Roman" w:eastAsia="Times New Roman" w:hAnsi="Times New Roman" w:cs="Times New Roman"/>
          <w:sz w:val="24"/>
          <w:szCs w:val="24"/>
          <w:lang w:eastAsia="tr-TR"/>
        </w:rPr>
        <w:t xml:space="preserve">.  Sözleşme’nin 18. maddesine dayanarak başvurucu, siyasi makamlar hakkında eleştirel görüşlerini dile getirdiği için tutuklandığını iddia etmiştir. Bu bağlamda, tutuklanmasındaki amacın onu susturmak için olduğunu belirtmiştir. </w:t>
      </w:r>
    </w:p>
    <w:p w:rsidR="004738DA" w:rsidRPr="00FD32FF" w:rsidRDefault="004738DA" w:rsidP="004738DA">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400.  Hükümet başvurucunun </w:t>
      </w:r>
      <w:proofErr w:type="gramStart"/>
      <w:r w:rsidRPr="00FD32FF">
        <w:rPr>
          <w:rFonts w:ascii="Times New Roman" w:eastAsia="Times New Roman" w:hAnsi="Times New Roman" w:cs="Times New Roman"/>
          <w:sz w:val="24"/>
          <w:szCs w:val="24"/>
          <w:lang w:eastAsia="tr-TR"/>
        </w:rPr>
        <w:t>argümanına</w:t>
      </w:r>
      <w:proofErr w:type="gramEnd"/>
      <w:r w:rsidRPr="00FD32FF">
        <w:rPr>
          <w:rFonts w:ascii="Times New Roman" w:eastAsia="Times New Roman" w:hAnsi="Times New Roman" w:cs="Times New Roman"/>
          <w:sz w:val="24"/>
          <w:szCs w:val="24"/>
          <w:lang w:eastAsia="tr-TR"/>
        </w:rPr>
        <w:t xml:space="preserve"> karşı çıkmıştır. Hükümet, Sözleşme’nin 18. maddesinin özerk bir rolü olmadığını ve sadece </w:t>
      </w:r>
      <w:proofErr w:type="spellStart"/>
      <w:r w:rsidRPr="00FD32FF">
        <w:rPr>
          <w:rFonts w:ascii="Times New Roman" w:eastAsia="Times New Roman" w:hAnsi="Times New Roman" w:cs="Times New Roman"/>
          <w:sz w:val="24"/>
          <w:szCs w:val="24"/>
          <w:lang w:eastAsia="tr-TR"/>
        </w:rPr>
        <w:t>Sözleşme’de</w:t>
      </w:r>
      <w:proofErr w:type="spellEnd"/>
      <w:r w:rsidRPr="00FD32FF">
        <w:rPr>
          <w:rFonts w:ascii="Times New Roman" w:eastAsia="Times New Roman" w:hAnsi="Times New Roman" w:cs="Times New Roman"/>
          <w:sz w:val="24"/>
          <w:szCs w:val="24"/>
          <w:lang w:eastAsia="tr-TR"/>
        </w:rPr>
        <w:t xml:space="preserve"> düzenlenen başka bir madde ile bağlantılı olarak ileri sürülebileceğini belirtmiştir. Başvurucunun şikâyetinin sadece Sözleşme’nin 5. maddesinin 1. ve 3. fıkraları altında incelenmesi gerektiğini dile getirmiştir. </w:t>
      </w:r>
    </w:p>
    <w:p w:rsidR="004738DA" w:rsidRPr="00FD32FF" w:rsidRDefault="004738DA" w:rsidP="004738DA">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401.  Mahkeme, başvurucunun tezinin Türkiye siyaset sahnesindeki rolü sebebiyle onu susturma ve baskı amacını taşıdığı olduğunu gözlemlemektedir. Bu iddia, özü itibarıyla başvurucunun yukarıdaki diğer şikâyetleri altında giderilmemiştir ve davanın temel bir yönünü oluşturmaktadır. (bakınız </w:t>
      </w:r>
      <w:proofErr w:type="spellStart"/>
      <w:r w:rsidRPr="00FD32FF">
        <w:rPr>
          <w:rFonts w:ascii="Times New Roman" w:eastAsia="Times New Roman" w:hAnsi="Times New Roman" w:cs="Times New Roman"/>
          <w:i/>
          <w:iCs/>
          <w:sz w:val="24"/>
          <w:szCs w:val="24"/>
          <w:lang w:eastAsia="tr-TR"/>
        </w:rPr>
        <w:t>Navalnyy</w:t>
      </w:r>
      <w:proofErr w:type="spellEnd"/>
      <w:r w:rsidRPr="00FD32FF">
        <w:rPr>
          <w:rFonts w:ascii="Times New Roman" w:eastAsia="Times New Roman" w:hAnsi="Times New Roman" w:cs="Times New Roman"/>
          <w:sz w:val="24"/>
          <w:szCs w:val="24"/>
          <w:lang w:eastAsia="tr-TR"/>
        </w:rPr>
        <w:t xml:space="preserve">, yukarıda anılan, § </w:t>
      </w:r>
      <w:proofErr w:type="gramStart"/>
      <w:r w:rsidRPr="00FD32FF">
        <w:rPr>
          <w:rFonts w:ascii="Times New Roman" w:eastAsia="Times New Roman" w:hAnsi="Times New Roman" w:cs="Times New Roman"/>
          <w:sz w:val="24"/>
          <w:szCs w:val="24"/>
          <w:lang w:eastAsia="tr-TR"/>
        </w:rPr>
        <w:t>164,</w:t>
      </w:r>
      <w:proofErr w:type="gramEnd"/>
      <w:r w:rsidRPr="00FD32FF">
        <w:rPr>
          <w:rFonts w:ascii="Times New Roman" w:eastAsia="Times New Roman" w:hAnsi="Times New Roman" w:cs="Times New Roman"/>
          <w:sz w:val="24"/>
          <w:szCs w:val="24"/>
          <w:lang w:eastAsia="tr-TR"/>
        </w:rPr>
        <w:t xml:space="preserve"> ve </w:t>
      </w:r>
      <w:r w:rsidRPr="00FD32FF">
        <w:rPr>
          <w:rFonts w:ascii="Times New Roman" w:eastAsia="Times New Roman" w:hAnsi="Times New Roman" w:cs="Times New Roman"/>
          <w:i/>
          <w:iCs/>
          <w:sz w:val="24"/>
          <w:szCs w:val="24"/>
          <w:lang w:eastAsia="tr-TR"/>
        </w:rPr>
        <w:t>Kavala</w:t>
      </w:r>
      <w:r w:rsidRPr="00FD32FF">
        <w:rPr>
          <w:rFonts w:ascii="Times New Roman" w:eastAsia="Times New Roman" w:hAnsi="Times New Roman" w:cs="Times New Roman"/>
          <w:sz w:val="24"/>
          <w:szCs w:val="24"/>
          <w:lang w:eastAsia="tr-TR"/>
        </w:rPr>
        <w:t xml:space="preserve">, yukarıda anılan, § 198). Bu sebeple şikâyet ayrıca incelenecektir. </w:t>
      </w:r>
    </w:p>
    <w:p w:rsidR="004738DA" w:rsidRDefault="004738DA" w:rsidP="00A054BF">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402.  Başvurucunun Sözleşme’nin 10. maddesiyle bağlantılı olarak 18. maddenin ihlal edildiği iddiası, Hükümet’e bildirilmemiştir ve bu sebeple, taraflara bununla ilgili soru sorulmamıştır. Mahkeme bu sebeple, Sözleşme’nin 18. maddesi altında yapılan şikâyeti yalnızca, taraflara da bildirildiği gibi, Sözleşme’nin 5. maddesiyle bağlantılı olarak değerlendirmeye karar vermiştir. 18. madde şu şekildedir: </w:t>
      </w:r>
    </w:p>
    <w:p w:rsidR="00A054BF" w:rsidRPr="00FD32FF" w:rsidRDefault="00A054BF" w:rsidP="00A054BF">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4738DA" w:rsidRPr="00FD32FF" w:rsidRDefault="004738DA" w:rsidP="004738DA">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FD32FF">
        <w:rPr>
          <w:rStyle w:val="sfbbfee58"/>
          <w:rFonts w:ascii="Times New Roman" w:hAnsi="Times New Roman" w:cs="Times New Roman"/>
          <w:sz w:val="20"/>
          <w:szCs w:val="20"/>
          <w:shd w:val="clear" w:color="auto" w:fill="FFFFFF"/>
        </w:rPr>
        <w:lastRenderedPageBreak/>
        <w:t>“Anılan hak ve özgürlüklere bu Sözleşme hükümleri ile izin verilen kısıtlamalar öngörüldükleri amaç dışında uygulanamaz. ”</w:t>
      </w:r>
    </w:p>
    <w:p w:rsidR="004738DA" w:rsidRPr="00FD32FF" w:rsidRDefault="004738DA" w:rsidP="00724F6F">
      <w:pPr>
        <w:numPr>
          <w:ilvl w:val="0"/>
          <w:numId w:val="6"/>
        </w:numPr>
        <w:shd w:val="clear" w:color="auto" w:fill="FFFFFF"/>
        <w:tabs>
          <w:tab w:val="left" w:pos="810"/>
        </w:tabs>
        <w:spacing w:before="100" w:after="240" w:line="240" w:lineRule="auto"/>
        <w:ind w:left="510" w:firstLine="0"/>
        <w:jc w:val="both"/>
        <w:rPr>
          <w:rFonts w:ascii="Times New Roman" w:eastAsia="Times New Roman" w:hAnsi="Times New Roman" w:cs="Times New Roman"/>
          <w:b/>
          <w:bCs/>
          <w:sz w:val="24"/>
          <w:szCs w:val="24"/>
          <w:lang w:eastAsia="tr-TR"/>
        </w:rPr>
      </w:pPr>
      <w:r w:rsidRPr="00FD32FF">
        <w:rPr>
          <w:rFonts w:ascii="Times New Roman" w:eastAsia="Times New Roman" w:hAnsi="Times New Roman" w:cs="Times New Roman"/>
          <w:b/>
          <w:bCs/>
          <w:sz w:val="24"/>
          <w:szCs w:val="24"/>
          <w:lang w:eastAsia="tr-TR"/>
        </w:rPr>
        <w:t xml:space="preserve">Büyük Daire’nin değerlendirmesi </w:t>
      </w:r>
    </w:p>
    <w:p w:rsidR="004738DA" w:rsidRPr="00A054BF" w:rsidRDefault="004738DA" w:rsidP="00724F6F">
      <w:pPr>
        <w:pStyle w:val="ListeParagraf"/>
        <w:numPr>
          <w:ilvl w:val="1"/>
          <w:numId w:val="6"/>
        </w:numPr>
        <w:shd w:val="clear" w:color="auto" w:fill="FFFFFF"/>
        <w:tabs>
          <w:tab w:val="clear" w:pos="1440"/>
          <w:tab w:val="num" w:pos="810"/>
        </w:tabs>
        <w:spacing w:before="100" w:after="120" w:line="240" w:lineRule="auto"/>
        <w:ind w:hanging="900"/>
        <w:jc w:val="both"/>
        <w:rPr>
          <w:rFonts w:ascii="Times New Roman" w:eastAsia="Times New Roman" w:hAnsi="Times New Roman" w:cs="Times New Roman"/>
          <w:i/>
          <w:iCs/>
          <w:sz w:val="24"/>
          <w:szCs w:val="24"/>
          <w:lang w:eastAsia="tr-TR"/>
        </w:rPr>
      </w:pPr>
      <w:r w:rsidRPr="00A054BF">
        <w:rPr>
          <w:rFonts w:ascii="Times New Roman" w:eastAsia="Times New Roman" w:hAnsi="Times New Roman" w:cs="Times New Roman"/>
          <w:i/>
          <w:iCs/>
          <w:sz w:val="24"/>
          <w:szCs w:val="24"/>
          <w:lang w:eastAsia="tr-TR"/>
        </w:rPr>
        <w:t xml:space="preserve">Kabul edilebilirlik </w:t>
      </w:r>
    </w:p>
    <w:p w:rsidR="004738DA"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420.  Mahkeme, bu şikâyetin Sözleşme’nin 35. maddesinin 3. fıkrasının a bendi uyarınca açıkça dayanaktan yoksun olmadığını ve kabul edilemez bulunması için başka bir sebep olmadığını not etmektedir. Bu sebeple, başvurucunun kabul edilebilir bulunması gerekir. </w:t>
      </w:r>
    </w:p>
    <w:p w:rsidR="00116CF2" w:rsidRPr="00FD32FF" w:rsidRDefault="00116CF2" w:rsidP="00116CF2">
      <w:pPr>
        <w:shd w:val="clear" w:color="auto" w:fill="FFFFFF"/>
        <w:spacing w:after="0" w:line="240" w:lineRule="auto"/>
        <w:jc w:val="both"/>
        <w:rPr>
          <w:rFonts w:ascii="Times New Roman" w:eastAsia="Times New Roman" w:hAnsi="Times New Roman" w:cs="Times New Roman"/>
          <w:sz w:val="17"/>
          <w:szCs w:val="17"/>
          <w:lang w:eastAsia="tr-TR"/>
        </w:rPr>
      </w:pPr>
    </w:p>
    <w:p w:rsidR="004738DA" w:rsidRPr="00A054BF" w:rsidRDefault="004738DA" w:rsidP="00724F6F">
      <w:pPr>
        <w:pStyle w:val="ListeParagraf"/>
        <w:numPr>
          <w:ilvl w:val="1"/>
          <w:numId w:val="6"/>
        </w:numPr>
        <w:shd w:val="clear" w:color="auto" w:fill="FFFFFF"/>
        <w:tabs>
          <w:tab w:val="clear" w:pos="1440"/>
          <w:tab w:val="num" w:pos="810"/>
        </w:tabs>
        <w:spacing w:before="100" w:after="120" w:line="240" w:lineRule="auto"/>
        <w:ind w:hanging="900"/>
        <w:jc w:val="both"/>
        <w:rPr>
          <w:rFonts w:ascii="Times New Roman" w:eastAsia="Times New Roman" w:hAnsi="Times New Roman" w:cs="Times New Roman"/>
          <w:i/>
          <w:iCs/>
          <w:sz w:val="24"/>
          <w:szCs w:val="24"/>
          <w:lang w:eastAsia="tr-TR"/>
        </w:rPr>
      </w:pPr>
      <w:r w:rsidRPr="00A054BF">
        <w:rPr>
          <w:rFonts w:ascii="Times New Roman" w:eastAsia="Times New Roman" w:hAnsi="Times New Roman" w:cs="Times New Roman"/>
          <w:i/>
          <w:iCs/>
          <w:sz w:val="24"/>
          <w:szCs w:val="24"/>
          <w:lang w:eastAsia="tr-TR"/>
        </w:rPr>
        <w:t>Esas</w:t>
      </w:r>
    </w:p>
    <w:p w:rsidR="004738DA" w:rsidRPr="00A92996" w:rsidRDefault="004738DA" w:rsidP="00724F6F">
      <w:pPr>
        <w:pStyle w:val="Balk3"/>
        <w:numPr>
          <w:ilvl w:val="0"/>
          <w:numId w:val="24"/>
        </w:numPr>
      </w:pPr>
      <w:r w:rsidRPr="00A92996">
        <w:t xml:space="preserve">Genel ilkeler </w:t>
      </w:r>
    </w:p>
    <w:p w:rsidR="004738DA" w:rsidRPr="00FD32FF" w:rsidRDefault="004738DA" w:rsidP="004738DA">
      <w:pPr>
        <w:pStyle w:val="sbe438969"/>
        <w:shd w:val="clear" w:color="auto" w:fill="FFFFFF"/>
        <w:spacing w:before="0" w:beforeAutospacing="0" w:after="0" w:afterAutospacing="0"/>
        <w:ind w:firstLine="284"/>
        <w:jc w:val="both"/>
      </w:pPr>
      <w:r w:rsidRPr="00FD32FF">
        <w:t>421.  Mahkeme, Sözleşme’nin 18. maddesinin yorumlanmasına ve uygulanmasına ilişkin genel ilkelerin kısa bir süre önce </w:t>
      </w:r>
      <w:proofErr w:type="spellStart"/>
      <w:r w:rsidRPr="00FD32FF">
        <w:rPr>
          <w:i/>
          <w:iCs/>
        </w:rPr>
        <w:t>Merabishvili</w:t>
      </w:r>
      <w:proofErr w:type="spellEnd"/>
      <w:r w:rsidRPr="00FD32FF">
        <w:rPr>
          <w:i/>
          <w:iCs/>
        </w:rPr>
        <w:t> </w:t>
      </w:r>
      <w:r w:rsidRPr="00FD32FF">
        <w:t xml:space="preserve">kararında (yukarıda anılan karar) Büyük Daire tarafından açıklandığını ve daha sonra </w:t>
      </w:r>
      <w:proofErr w:type="spellStart"/>
      <w:r w:rsidRPr="00FD32FF">
        <w:rPr>
          <w:i/>
          <w:iCs/>
        </w:rPr>
        <w:t>Navalnyy</w:t>
      </w:r>
      <w:proofErr w:type="spellEnd"/>
      <w:r w:rsidRPr="00FD32FF">
        <w:rPr>
          <w:i/>
          <w:iCs/>
        </w:rPr>
        <w:t> </w:t>
      </w:r>
      <w:r w:rsidRPr="00FD32FF">
        <w:t xml:space="preserve">(yukarıda </w:t>
      </w:r>
      <w:proofErr w:type="spellStart"/>
      <w:r w:rsidRPr="00FD32FF">
        <w:t>nılan</w:t>
      </w:r>
      <w:proofErr w:type="spellEnd"/>
      <w:r w:rsidRPr="00FD32FF">
        <w:t xml:space="preserve">, §§ 164-65) kararında tekrarlandığını kaydetmektedir. Mahkeme, </w:t>
      </w:r>
      <w:proofErr w:type="spellStart"/>
      <w:r w:rsidRPr="00FD32FF">
        <w:t>Merabishvili</w:t>
      </w:r>
      <w:proofErr w:type="spellEnd"/>
      <w:r w:rsidRPr="00FD32FF">
        <w:t xml:space="preserve"> kararından aşağıdaki bölümlerin bu şikâyetin incelenmesi sırasında özellikle ilgili olduğunu düşünmektedir: </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t xml:space="preserve">“287.  Sözleşme’nin 14. maddesi gibi, 18. maddesi de bağımsız bir varlığa sahip değildir. … söz konusu madde yalnızca, Yüksek Sözleşmeci </w:t>
      </w:r>
      <w:proofErr w:type="spellStart"/>
      <w:r w:rsidRPr="00FD32FF">
        <w:rPr>
          <w:rFonts w:ascii="Times New Roman" w:eastAsia="Times New Roman" w:hAnsi="Times New Roman" w:cs="Times New Roman"/>
          <w:sz w:val="20"/>
          <w:szCs w:val="20"/>
          <w:lang w:eastAsia="tr-TR"/>
        </w:rPr>
        <w:t>Taraflar’ın</w:t>
      </w:r>
      <w:proofErr w:type="spellEnd"/>
      <w:r w:rsidRPr="00FD32FF">
        <w:rPr>
          <w:rFonts w:ascii="Times New Roman" w:eastAsia="Times New Roman" w:hAnsi="Times New Roman" w:cs="Times New Roman"/>
          <w:sz w:val="20"/>
          <w:szCs w:val="20"/>
          <w:lang w:eastAsia="tr-TR"/>
        </w:rPr>
        <w:t xml:space="preserve"> kendi yargılama yetkileri kapsamına giren kişilere tanımayı taahhüt ettikleri hak ve özgürlüklerden birini belirten veya bu hak ve özgürlüklerin askıya alınmasını sağlayabilecek koşulları tanımlayan, Sözleşme ya da </w:t>
      </w:r>
      <w:proofErr w:type="spellStart"/>
      <w:r w:rsidRPr="00FD32FF">
        <w:rPr>
          <w:rFonts w:ascii="Times New Roman" w:eastAsia="Times New Roman" w:hAnsi="Times New Roman" w:cs="Times New Roman"/>
          <w:sz w:val="20"/>
          <w:szCs w:val="20"/>
          <w:lang w:eastAsia="tr-TR"/>
        </w:rPr>
        <w:t>Protokolleri’nin</w:t>
      </w:r>
      <w:proofErr w:type="spellEnd"/>
      <w:r w:rsidRPr="00FD32FF">
        <w:rPr>
          <w:rFonts w:ascii="Times New Roman" w:eastAsia="Times New Roman" w:hAnsi="Times New Roman" w:cs="Times New Roman"/>
          <w:sz w:val="20"/>
          <w:szCs w:val="20"/>
          <w:lang w:eastAsia="tr-TR"/>
        </w:rPr>
        <w:t xml:space="preserve"> bir maddesiyle birlikte </w:t>
      </w:r>
      <w:proofErr w:type="gramStart"/>
      <w:r w:rsidRPr="00FD32FF">
        <w:rPr>
          <w:rFonts w:ascii="Times New Roman" w:eastAsia="Times New Roman" w:hAnsi="Times New Roman" w:cs="Times New Roman"/>
          <w:sz w:val="20"/>
          <w:szCs w:val="20"/>
          <w:lang w:eastAsia="tr-TR"/>
        </w:rPr>
        <w:t>uygulanabilmektedir …</w:t>
      </w:r>
      <w:proofErr w:type="gramEnd"/>
      <w:r w:rsidRPr="00FD32FF">
        <w:rPr>
          <w:rFonts w:ascii="Times New Roman" w:eastAsia="Times New Roman" w:hAnsi="Times New Roman" w:cs="Times New Roman"/>
          <w:sz w:val="20"/>
          <w:szCs w:val="20"/>
          <w:lang w:eastAsia="tr-TR"/>
        </w:rPr>
        <w:t xml:space="preserve"> </w:t>
      </w:r>
      <w:proofErr w:type="gramStart"/>
      <w:r w:rsidRPr="00FD32FF">
        <w:rPr>
          <w:rFonts w:ascii="Times New Roman" w:eastAsia="Times New Roman" w:hAnsi="Times New Roman" w:cs="Times New Roman"/>
          <w:sz w:val="20"/>
          <w:szCs w:val="20"/>
          <w:lang w:eastAsia="tr-TR"/>
        </w:rPr>
        <w:t xml:space="preserve">Bu kural, bir yandan, Sözleşme’nin 5. maddesinin 1. fıkrasının ikinci cümlesi ve yer verdikleri hak ve özgürlüklere sınırlamalar getirilmesine izin veren Sözleşme’nin 8 ila 11. maddelerinin ikinci fıkraları gibi hükümlerin metnini tamamlayan Sözleşme’nin 18. maddesinin metninden ve bu metnin, diğer yandan, söz konusu hak ve özgürlükleri belirten ya da bunların askıya alınmasını sağlayabilecek koşulları tanımlayan maddeleri içeren I. Başlığın sonunda, </w:t>
      </w:r>
      <w:proofErr w:type="spellStart"/>
      <w:r w:rsidRPr="00FD32FF">
        <w:rPr>
          <w:rFonts w:ascii="Times New Roman" w:eastAsia="Times New Roman" w:hAnsi="Times New Roman" w:cs="Times New Roman"/>
          <w:sz w:val="20"/>
          <w:szCs w:val="20"/>
          <w:lang w:eastAsia="tr-TR"/>
        </w:rPr>
        <w:t>Sözleşme’deki</w:t>
      </w:r>
      <w:proofErr w:type="spellEnd"/>
      <w:r w:rsidRPr="00FD32FF">
        <w:rPr>
          <w:rFonts w:ascii="Times New Roman" w:eastAsia="Times New Roman" w:hAnsi="Times New Roman" w:cs="Times New Roman"/>
          <w:sz w:val="20"/>
          <w:szCs w:val="20"/>
          <w:lang w:eastAsia="tr-TR"/>
        </w:rPr>
        <w:t xml:space="preserve"> yerinden kaynaklanmaktadır.</w:t>
      </w:r>
      <w:proofErr w:type="gramEnd"/>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t xml:space="preserve">288.  Bununla birlikte, Sözleşme’nin 18. maddesi sadece sınırlama hükümlerinin kapsamını belirtmeye yönelik değildir. Söz konusu madde aynı zamanda, Yüksek Sözleşmeci </w:t>
      </w:r>
      <w:proofErr w:type="spellStart"/>
      <w:r w:rsidRPr="00FD32FF">
        <w:rPr>
          <w:rFonts w:ascii="Times New Roman" w:eastAsia="Times New Roman" w:hAnsi="Times New Roman" w:cs="Times New Roman"/>
          <w:sz w:val="20"/>
          <w:szCs w:val="20"/>
          <w:lang w:eastAsia="tr-TR"/>
        </w:rPr>
        <w:t>Taraflar’ın</w:t>
      </w:r>
      <w:proofErr w:type="spellEnd"/>
      <w:r w:rsidRPr="00FD32FF">
        <w:rPr>
          <w:rFonts w:ascii="Times New Roman" w:eastAsia="Times New Roman" w:hAnsi="Times New Roman" w:cs="Times New Roman"/>
          <w:sz w:val="20"/>
          <w:szCs w:val="20"/>
          <w:lang w:eastAsia="tr-TR"/>
        </w:rPr>
        <w:t xml:space="preserve"> Sözleşme tarafından öngörülen amaçların dışındaki amaçlarla </w:t>
      </w:r>
      <w:proofErr w:type="spellStart"/>
      <w:r w:rsidRPr="00FD32FF">
        <w:rPr>
          <w:rFonts w:ascii="Times New Roman" w:eastAsia="Times New Roman" w:hAnsi="Times New Roman" w:cs="Times New Roman"/>
          <w:sz w:val="20"/>
          <w:szCs w:val="20"/>
          <w:lang w:eastAsia="tr-TR"/>
        </w:rPr>
        <w:t>Sözleşme’de</w:t>
      </w:r>
      <w:proofErr w:type="spellEnd"/>
      <w:r w:rsidRPr="00FD32FF">
        <w:rPr>
          <w:rFonts w:ascii="Times New Roman" w:eastAsia="Times New Roman" w:hAnsi="Times New Roman" w:cs="Times New Roman"/>
          <w:sz w:val="20"/>
          <w:szCs w:val="20"/>
          <w:lang w:eastAsia="tr-TR"/>
        </w:rPr>
        <w:t xml:space="preserve"> yer verilen hak ve özgürlükleri sınırlamalarını açıkça yasaklamaktadır. Bu ölçüde, Sözleşme’nin 18. maddesi özerk bir kapsama </w:t>
      </w:r>
      <w:proofErr w:type="gramStart"/>
      <w:r w:rsidRPr="00FD32FF">
        <w:rPr>
          <w:rFonts w:ascii="Times New Roman" w:eastAsia="Times New Roman" w:hAnsi="Times New Roman" w:cs="Times New Roman"/>
          <w:sz w:val="20"/>
          <w:szCs w:val="20"/>
          <w:lang w:eastAsia="tr-TR"/>
        </w:rPr>
        <w:t>sahiptir …</w:t>
      </w:r>
      <w:proofErr w:type="gramEnd"/>
      <w:r w:rsidRPr="00FD32FF">
        <w:rPr>
          <w:rFonts w:ascii="Times New Roman" w:eastAsia="Times New Roman" w:hAnsi="Times New Roman" w:cs="Times New Roman"/>
          <w:sz w:val="20"/>
          <w:szCs w:val="20"/>
          <w:lang w:eastAsia="tr-TR"/>
        </w:rPr>
        <w:t xml:space="preserve"> Dolayısıyla, Sözleşme’nin 14. maddesi gibi, 18. maddesi de, birlikte uygulandığı madde ihlal edilmeksizin ihlal edilebilmektedir </w:t>
      </w:r>
      <w:proofErr w:type="gramStart"/>
      <w:r w:rsidRPr="00FD32FF">
        <w:rPr>
          <w:rFonts w:ascii="Times New Roman" w:eastAsia="Times New Roman" w:hAnsi="Times New Roman" w:cs="Times New Roman"/>
          <w:sz w:val="20"/>
          <w:szCs w:val="20"/>
          <w:lang w:eastAsia="tr-TR"/>
        </w:rPr>
        <w:t>….</w:t>
      </w:r>
      <w:proofErr w:type="gramEnd"/>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t>289.  Son olarak, Mahkeme, daha önce de tespit ettiği gibi, bu bağlamlarda “bağımsız” ve “özerk” kelimelerinin kullanılmasında tutarlılık bulunmadığının bilincinde olarak, yukarıda daha önce yapıldığı gibi, Sözleşme’nin 14. maddesi bağlamında kullanılan ifadeler hakkında Sözleşme’nin 18. maddesi kapsamında kullanılan ifadeleri sıralamak için mevcut davada kendisine sunulan fırsattan yararlanmaktadır.</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lastRenderedPageBreak/>
        <w:t xml:space="preserve">290.  Ayrıca Sözleşme’nin 18. maddesinin metninden, sadece söz konusu hak ya da özgürlüğün Sözleşme tarafından izin verilen sınırlamalara tabi tutulabilmesi halinde ihlalin söz konusu olabileceği </w:t>
      </w:r>
      <w:proofErr w:type="gramStart"/>
      <w:r w:rsidRPr="00FD32FF">
        <w:rPr>
          <w:rFonts w:ascii="Times New Roman" w:eastAsia="Times New Roman" w:hAnsi="Times New Roman" w:cs="Times New Roman"/>
          <w:sz w:val="20"/>
          <w:szCs w:val="20"/>
          <w:lang w:eastAsia="tr-TR"/>
        </w:rPr>
        <w:t>anlaşılmaktadır …</w:t>
      </w:r>
      <w:proofErr w:type="gramEnd"/>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t xml:space="preserve">291.  Yalnızca Sözleşme tarafından korunan bir özgürlüğe ya da hakka getirilen bir sınırlamanın buna imkân veren hükmün bütün koşullarını yerine getirmemesi, muhakkak Sözleşme’nin 18. maddesi açısından bir sorun ortaya koymamaktadır. Bu hükme dayalı bir şikâyetin ayrı olarak incelenmesi, yalnızca </w:t>
      </w:r>
      <w:proofErr w:type="spellStart"/>
      <w:r w:rsidRPr="00FD32FF">
        <w:rPr>
          <w:rFonts w:ascii="Times New Roman" w:eastAsia="Times New Roman" w:hAnsi="Times New Roman" w:cs="Times New Roman"/>
          <w:sz w:val="20"/>
          <w:szCs w:val="20"/>
          <w:lang w:eastAsia="tr-TR"/>
        </w:rPr>
        <w:t>Sözleşme’ye</w:t>
      </w:r>
      <w:proofErr w:type="spellEnd"/>
      <w:r w:rsidRPr="00FD32FF">
        <w:rPr>
          <w:rFonts w:ascii="Times New Roman" w:eastAsia="Times New Roman" w:hAnsi="Times New Roman" w:cs="Times New Roman"/>
          <w:sz w:val="20"/>
          <w:szCs w:val="20"/>
          <w:lang w:eastAsia="tr-TR"/>
        </w:rPr>
        <w:t xml:space="preserve"> uygun olmayan bir amaçla sınırlamanın getirildiği iddiasının, davanın temel bir yönü olduğunun ortaya çıkması halinde haklı gösterilmektedir …”</w:t>
      </w:r>
    </w:p>
    <w:p w:rsidR="004738DA" w:rsidRPr="00FD32FF" w:rsidRDefault="004738DA" w:rsidP="004738DA">
      <w:pPr>
        <w:pStyle w:val="sbe438969"/>
        <w:shd w:val="clear" w:color="auto" w:fill="FFFFFF"/>
        <w:spacing w:before="0" w:beforeAutospacing="0" w:after="0" w:afterAutospacing="0"/>
        <w:ind w:firstLine="284"/>
        <w:jc w:val="both"/>
      </w:pP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422.  Sözleşme’nin 18. maddesi kapsamındaki amaçlar doğrultusunda ispat meselesiyle ilgili olarak Mahkeme, tekrar </w:t>
      </w:r>
      <w:proofErr w:type="spellStart"/>
      <w:r w:rsidRPr="00FD32FF">
        <w:rPr>
          <w:rFonts w:ascii="Times New Roman" w:eastAsia="Times New Roman" w:hAnsi="Times New Roman" w:cs="Times New Roman"/>
          <w:i/>
          <w:iCs/>
          <w:sz w:val="24"/>
          <w:szCs w:val="24"/>
          <w:lang w:eastAsia="tr-TR"/>
        </w:rPr>
        <w:t>Merabishvili’de</w:t>
      </w:r>
      <w:proofErr w:type="spellEnd"/>
      <w:r w:rsidRPr="00FD32FF">
        <w:rPr>
          <w:rFonts w:ascii="Times New Roman" w:eastAsia="Times New Roman" w:hAnsi="Times New Roman" w:cs="Times New Roman"/>
          <w:i/>
          <w:iCs/>
          <w:sz w:val="24"/>
          <w:szCs w:val="24"/>
          <w:lang w:eastAsia="tr-TR"/>
        </w:rPr>
        <w:t xml:space="preserve"> </w:t>
      </w:r>
      <w:r w:rsidRPr="00FD32FF">
        <w:rPr>
          <w:rFonts w:ascii="Times New Roman" w:eastAsia="Times New Roman" w:hAnsi="Times New Roman" w:cs="Times New Roman"/>
          <w:iCs/>
          <w:sz w:val="24"/>
          <w:szCs w:val="24"/>
          <w:lang w:eastAsia="tr-TR"/>
        </w:rPr>
        <w:t xml:space="preserve">(yukarıda anılan)  uygulanabilir standardın olağan ispat yükü olduğunu açıklamıştır: </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4"/>
          <w:lang w:eastAsia="tr-TR"/>
        </w:rPr>
      </w:pPr>
      <w:r w:rsidRPr="00FD32FF">
        <w:rPr>
          <w:rFonts w:ascii="Times New Roman" w:eastAsia="Times New Roman" w:hAnsi="Times New Roman" w:cs="Times New Roman"/>
          <w:sz w:val="20"/>
          <w:szCs w:val="24"/>
          <w:lang w:eastAsia="tr-TR"/>
        </w:rPr>
        <w:t xml:space="preserve">“309. Alıntılanan kararların dikkatli bir okumasıyla, … </w:t>
      </w:r>
      <w:proofErr w:type="gramStart"/>
      <w:r w:rsidRPr="00FD32FF">
        <w:rPr>
          <w:rFonts w:ascii="Times New Roman" w:eastAsia="Times New Roman" w:hAnsi="Times New Roman" w:cs="Times New Roman"/>
          <w:sz w:val="20"/>
          <w:szCs w:val="24"/>
          <w:lang w:eastAsia="tr-TR"/>
        </w:rPr>
        <w:t>yukarıda</w:t>
      </w:r>
      <w:proofErr w:type="gramEnd"/>
      <w:r w:rsidRPr="00FD32FF">
        <w:rPr>
          <w:rFonts w:ascii="Times New Roman" w:eastAsia="Times New Roman" w:hAnsi="Times New Roman" w:cs="Times New Roman"/>
          <w:sz w:val="20"/>
          <w:szCs w:val="24"/>
          <w:lang w:eastAsia="tr-TR"/>
        </w:rPr>
        <w:t xml:space="preserve"> belirtilen açıklamalar ışığında da görüldüğü üzere, Mahkeme 18. madde altında daha sıkı bir ispat yükü olacağını söylerken, gerçekten Sözleşme tarafından öngörülen bir amacın her durumda baskın amaçlar için kılıf olarak kullanılmasını kastetmektedir. Ancak bahsedilen iki husus temiz bir şekilde birbirinden ayrılırsa, ispata ilişkin meseleler basit bir şekilde gizli amacın olup olmadığı ve bu amacın baskın amaç olup olmadığının tespitine dönüşecektir.</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4"/>
          <w:lang w:eastAsia="tr-TR"/>
        </w:rPr>
      </w:pPr>
      <w:r w:rsidRPr="00FD32FF">
        <w:rPr>
          <w:rFonts w:ascii="Times New Roman" w:eastAsia="Times New Roman" w:hAnsi="Times New Roman" w:cs="Times New Roman"/>
          <w:sz w:val="20"/>
          <w:szCs w:val="24"/>
          <w:lang w:eastAsia="tr-TR"/>
        </w:rPr>
        <w:t>310. Bu itibarla, Mahkeme burada özel kurallar kullanmaktansa ispata ilişkin genel yaklaşımını işletebilir ve işletmelidir.</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iCs/>
          <w:sz w:val="20"/>
          <w:szCs w:val="24"/>
          <w:lang w:eastAsia="tr-TR"/>
        </w:rPr>
      </w:pPr>
      <w:r w:rsidRPr="00FD32FF">
        <w:rPr>
          <w:rFonts w:ascii="Times New Roman" w:eastAsia="Times New Roman" w:hAnsi="Times New Roman" w:cs="Times New Roman"/>
          <w:sz w:val="20"/>
          <w:szCs w:val="24"/>
          <w:lang w:eastAsia="tr-TR"/>
        </w:rPr>
        <w:t xml:space="preserve">311. Bu yaklaşımın ilk unsuru </w:t>
      </w:r>
      <w:r w:rsidRPr="00FD32FF">
        <w:rPr>
          <w:rFonts w:ascii="Times New Roman" w:eastAsia="Times New Roman" w:hAnsi="Times New Roman" w:cs="Times New Roman"/>
          <w:i/>
          <w:sz w:val="20"/>
          <w:szCs w:val="24"/>
          <w:lang w:eastAsia="tr-TR"/>
        </w:rPr>
        <w:t>İrlanda v. Birleşik Krallık</w:t>
      </w:r>
      <w:r w:rsidRPr="00FD32FF">
        <w:rPr>
          <w:rFonts w:ascii="Times New Roman" w:eastAsia="Times New Roman" w:hAnsi="Times New Roman" w:cs="Times New Roman"/>
          <w:sz w:val="20"/>
          <w:szCs w:val="24"/>
          <w:lang w:eastAsia="tr-TR"/>
        </w:rPr>
        <w:t xml:space="preserve"> kararında öngörülmüş ve daha yakın zamanda </w:t>
      </w:r>
      <w:r w:rsidRPr="00FD32FF">
        <w:rPr>
          <w:rFonts w:ascii="Times New Roman" w:eastAsia="Times New Roman" w:hAnsi="Times New Roman" w:cs="Times New Roman"/>
          <w:i/>
          <w:sz w:val="20"/>
          <w:szCs w:val="24"/>
          <w:lang w:eastAsia="tr-TR"/>
        </w:rPr>
        <w:t xml:space="preserve">Kıbrıs v. Türkiye </w:t>
      </w:r>
      <w:r w:rsidRPr="00FD32FF">
        <w:rPr>
          <w:rFonts w:ascii="Times New Roman" w:eastAsia="Times New Roman" w:hAnsi="Times New Roman" w:cs="Times New Roman"/>
          <w:sz w:val="20"/>
          <w:szCs w:val="24"/>
          <w:lang w:eastAsia="tr-TR"/>
        </w:rPr>
        <w:t xml:space="preserve">ve </w:t>
      </w:r>
      <w:r w:rsidRPr="00FD32FF">
        <w:rPr>
          <w:rFonts w:ascii="Times New Roman" w:eastAsia="Times New Roman" w:hAnsi="Times New Roman" w:cs="Times New Roman"/>
          <w:i/>
          <w:sz w:val="20"/>
          <w:szCs w:val="24"/>
          <w:lang w:eastAsia="tr-TR"/>
        </w:rPr>
        <w:t>Gürcistan v. Türkiye (I)</w:t>
      </w:r>
      <w:r w:rsidRPr="00FD32FF">
        <w:rPr>
          <w:rFonts w:ascii="Times New Roman" w:eastAsia="Times New Roman" w:hAnsi="Times New Roman" w:cs="Times New Roman"/>
          <w:sz w:val="20"/>
          <w:szCs w:val="24"/>
          <w:lang w:eastAsia="tr-TR"/>
        </w:rPr>
        <w:t xml:space="preserve"> kararında </w:t>
      </w:r>
      <w:proofErr w:type="gramStart"/>
      <w:r w:rsidRPr="00FD32FF">
        <w:rPr>
          <w:rFonts w:ascii="Times New Roman" w:eastAsia="Times New Roman" w:hAnsi="Times New Roman" w:cs="Times New Roman"/>
          <w:sz w:val="20"/>
          <w:szCs w:val="24"/>
          <w:lang w:eastAsia="tr-TR"/>
        </w:rPr>
        <w:t>doğrulanmıştır …</w:t>
      </w:r>
      <w:proofErr w:type="gramEnd"/>
      <w:r w:rsidRPr="00FD32FF">
        <w:rPr>
          <w:rFonts w:ascii="Times New Roman" w:eastAsia="Times New Roman" w:hAnsi="Times New Roman" w:cs="Times New Roman"/>
          <w:sz w:val="20"/>
          <w:szCs w:val="24"/>
          <w:lang w:eastAsia="tr-TR"/>
        </w:rPr>
        <w:t xml:space="preserve"> </w:t>
      </w:r>
      <w:proofErr w:type="gramStart"/>
      <w:r w:rsidRPr="00FD32FF">
        <w:rPr>
          <w:rFonts w:ascii="Times New Roman" w:eastAsia="Times New Roman" w:hAnsi="Times New Roman" w:cs="Times New Roman"/>
          <w:sz w:val="20"/>
          <w:szCs w:val="24"/>
          <w:lang w:eastAsia="tr-TR"/>
        </w:rPr>
        <w:t>genel</w:t>
      </w:r>
      <w:proofErr w:type="gramEnd"/>
      <w:r w:rsidRPr="00FD32FF">
        <w:rPr>
          <w:rFonts w:ascii="Times New Roman" w:eastAsia="Times New Roman" w:hAnsi="Times New Roman" w:cs="Times New Roman"/>
          <w:sz w:val="20"/>
          <w:szCs w:val="24"/>
          <w:lang w:eastAsia="tr-TR"/>
        </w:rPr>
        <w:t xml:space="preserve"> bir kural olarak ispat külfeti bir ya da diğer tarafça yüklenilmez çünkü Mahkeme kaynağı fark etmeksizin önündeki her delili inceler, gerekli olduğu takdirde </w:t>
      </w:r>
      <w:proofErr w:type="spellStart"/>
      <w:r w:rsidRPr="00FD32FF">
        <w:rPr>
          <w:rFonts w:ascii="Times New Roman" w:eastAsia="Times New Roman" w:hAnsi="Times New Roman" w:cs="Times New Roman"/>
          <w:sz w:val="20"/>
          <w:szCs w:val="24"/>
          <w:lang w:eastAsia="tr-TR"/>
        </w:rPr>
        <w:t>re’sen</w:t>
      </w:r>
      <w:proofErr w:type="spellEnd"/>
      <w:r w:rsidRPr="00FD32FF">
        <w:rPr>
          <w:rFonts w:ascii="Times New Roman" w:eastAsia="Times New Roman" w:hAnsi="Times New Roman" w:cs="Times New Roman"/>
          <w:sz w:val="20"/>
          <w:szCs w:val="24"/>
          <w:lang w:eastAsia="tr-TR"/>
        </w:rPr>
        <w:t xml:space="preserve"> delil toplar. </w:t>
      </w:r>
      <w:proofErr w:type="spellStart"/>
      <w:r w:rsidRPr="00FD32FF">
        <w:rPr>
          <w:rFonts w:ascii="Times New Roman" w:eastAsia="Times New Roman" w:hAnsi="Times New Roman" w:cs="Times New Roman"/>
          <w:i/>
          <w:sz w:val="20"/>
          <w:szCs w:val="24"/>
          <w:lang w:eastAsia="tr-TR"/>
        </w:rPr>
        <w:t>Artico</w:t>
      </w:r>
      <w:proofErr w:type="spellEnd"/>
      <w:r w:rsidRPr="00FD32FF">
        <w:rPr>
          <w:rFonts w:ascii="Times New Roman" w:eastAsia="Times New Roman" w:hAnsi="Times New Roman" w:cs="Times New Roman"/>
          <w:i/>
          <w:sz w:val="20"/>
          <w:szCs w:val="24"/>
          <w:lang w:eastAsia="tr-TR"/>
        </w:rPr>
        <w:t xml:space="preserve"> v. İtalya </w:t>
      </w:r>
      <w:r w:rsidRPr="00FD32FF">
        <w:rPr>
          <w:rFonts w:ascii="Times New Roman" w:eastAsia="Times New Roman" w:hAnsi="Times New Roman" w:cs="Times New Roman"/>
          <w:sz w:val="20"/>
          <w:szCs w:val="24"/>
          <w:lang w:eastAsia="tr-TR"/>
        </w:rPr>
        <w:t xml:space="preserve">kararına kadar uzanabilecek erken tarihlerde, Mahkeme bu durumun yalnızca Devletlerarası davalarda değil, bireysel başvuru davalarında da benimsediği yaklaşım olduğunu belirtmiştir. Mahkeme o zamandan bu yana ispat yükü kavramına, bağlama özel olarak dayanmaktadır. Bir dizi vakada Mahkeme, iddia eden iddiasını ispatla yükümlüdür anlamına gelen </w:t>
      </w:r>
      <w:proofErr w:type="spellStart"/>
      <w:r w:rsidRPr="00FD32FF">
        <w:rPr>
          <w:rFonts w:ascii="Times New Roman" w:eastAsia="Times New Roman" w:hAnsi="Times New Roman" w:cs="Times New Roman"/>
          <w:i/>
          <w:iCs/>
          <w:sz w:val="20"/>
          <w:szCs w:val="24"/>
          <w:lang w:eastAsia="tr-TR"/>
        </w:rPr>
        <w:t>affirmanti</w:t>
      </w:r>
      <w:proofErr w:type="spellEnd"/>
      <w:r w:rsidRPr="00FD32FF">
        <w:rPr>
          <w:rFonts w:ascii="Times New Roman" w:eastAsia="Times New Roman" w:hAnsi="Times New Roman" w:cs="Times New Roman"/>
          <w:i/>
          <w:iCs/>
          <w:sz w:val="20"/>
          <w:szCs w:val="24"/>
          <w:lang w:eastAsia="tr-TR"/>
        </w:rPr>
        <w:t xml:space="preserve"> </w:t>
      </w:r>
      <w:proofErr w:type="spellStart"/>
      <w:r w:rsidRPr="00FD32FF">
        <w:rPr>
          <w:rFonts w:ascii="Times New Roman" w:eastAsia="Times New Roman" w:hAnsi="Times New Roman" w:cs="Times New Roman"/>
          <w:i/>
          <w:iCs/>
          <w:sz w:val="20"/>
          <w:szCs w:val="24"/>
          <w:lang w:eastAsia="tr-TR"/>
        </w:rPr>
        <w:t>incumbit</w:t>
      </w:r>
      <w:proofErr w:type="spellEnd"/>
      <w:r w:rsidRPr="00FD32FF">
        <w:rPr>
          <w:rFonts w:ascii="Times New Roman" w:eastAsia="Times New Roman" w:hAnsi="Times New Roman" w:cs="Times New Roman"/>
          <w:i/>
          <w:iCs/>
          <w:sz w:val="20"/>
          <w:szCs w:val="24"/>
          <w:lang w:eastAsia="tr-TR"/>
        </w:rPr>
        <w:t xml:space="preserve"> </w:t>
      </w:r>
      <w:proofErr w:type="spellStart"/>
      <w:r w:rsidRPr="00FD32FF">
        <w:rPr>
          <w:rFonts w:ascii="Times New Roman" w:eastAsia="Times New Roman" w:hAnsi="Times New Roman" w:cs="Times New Roman"/>
          <w:i/>
          <w:iCs/>
          <w:sz w:val="20"/>
          <w:szCs w:val="24"/>
          <w:lang w:eastAsia="tr-TR"/>
        </w:rPr>
        <w:t>probatio</w:t>
      </w:r>
      <w:proofErr w:type="spellEnd"/>
      <w:r w:rsidRPr="00FD32FF">
        <w:rPr>
          <w:rFonts w:ascii="Times New Roman" w:eastAsia="Times New Roman" w:hAnsi="Times New Roman" w:cs="Times New Roman"/>
          <w:i/>
          <w:iCs/>
          <w:sz w:val="20"/>
          <w:szCs w:val="24"/>
          <w:lang w:eastAsia="tr-TR"/>
        </w:rPr>
        <w:t xml:space="preserve"> </w:t>
      </w:r>
      <w:r w:rsidRPr="00FD32FF">
        <w:rPr>
          <w:rFonts w:ascii="Times New Roman" w:eastAsia="Times New Roman" w:hAnsi="Times New Roman" w:cs="Times New Roman"/>
          <w:iCs/>
          <w:sz w:val="20"/>
          <w:szCs w:val="24"/>
          <w:lang w:eastAsia="tr-TR"/>
        </w:rPr>
        <w:t xml:space="preserve">ilkesinin katı bir şekilde yorumlanmasının mümkün olmadığını belirtmiştir, özellikle başvurucunun özel ispat zorlukları yaşadığı olaylarda bu durum daha da </w:t>
      </w:r>
      <w:proofErr w:type="gramStart"/>
      <w:r w:rsidRPr="00FD32FF">
        <w:rPr>
          <w:rFonts w:ascii="Times New Roman" w:eastAsia="Times New Roman" w:hAnsi="Times New Roman" w:cs="Times New Roman"/>
          <w:iCs/>
          <w:sz w:val="20"/>
          <w:szCs w:val="24"/>
          <w:lang w:eastAsia="tr-TR"/>
        </w:rPr>
        <w:t>belirgindir …</w:t>
      </w:r>
      <w:proofErr w:type="gramEnd"/>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iCs/>
          <w:sz w:val="20"/>
          <w:szCs w:val="24"/>
          <w:lang w:eastAsia="tr-TR"/>
        </w:rPr>
      </w:pPr>
      <w:r w:rsidRPr="00FD32FF">
        <w:rPr>
          <w:rFonts w:ascii="Times New Roman" w:eastAsia="Times New Roman" w:hAnsi="Times New Roman" w:cs="Times New Roman"/>
          <w:iCs/>
          <w:sz w:val="20"/>
          <w:szCs w:val="24"/>
          <w:lang w:eastAsia="tr-TR"/>
        </w:rPr>
        <w:t xml:space="preserve">312. Sahiden bakıldığında, her ne kadar Mahkeme taraflarca </w:t>
      </w:r>
      <w:proofErr w:type="gramStart"/>
      <w:r w:rsidRPr="00FD32FF">
        <w:rPr>
          <w:rFonts w:ascii="Times New Roman" w:eastAsia="Times New Roman" w:hAnsi="Times New Roman" w:cs="Times New Roman"/>
          <w:iCs/>
          <w:sz w:val="20"/>
          <w:szCs w:val="24"/>
          <w:lang w:eastAsia="tr-TR"/>
        </w:rPr>
        <w:t>spontane</w:t>
      </w:r>
      <w:proofErr w:type="gramEnd"/>
      <w:r w:rsidRPr="00FD32FF">
        <w:rPr>
          <w:rFonts w:ascii="Times New Roman" w:eastAsia="Times New Roman" w:hAnsi="Times New Roman" w:cs="Times New Roman"/>
          <w:iCs/>
          <w:sz w:val="20"/>
          <w:szCs w:val="24"/>
          <w:lang w:eastAsia="tr-TR"/>
        </w:rPr>
        <w:t xml:space="preserve"> şekilde sunulan delillere dayansa da, Mahkeme ayrıca başvuruculara ve davalı Hükümetlere önündeki iddialara destek olabilecek ya da onları çürütebilecek deliller sunması yönünde </w:t>
      </w:r>
      <w:proofErr w:type="spellStart"/>
      <w:r w:rsidRPr="00FD32FF">
        <w:rPr>
          <w:rFonts w:ascii="Times New Roman" w:eastAsia="Times New Roman" w:hAnsi="Times New Roman" w:cs="Times New Roman"/>
          <w:iCs/>
          <w:sz w:val="20"/>
          <w:szCs w:val="24"/>
          <w:lang w:eastAsia="tr-TR"/>
        </w:rPr>
        <w:t>re’sen</w:t>
      </w:r>
      <w:proofErr w:type="spellEnd"/>
      <w:r w:rsidRPr="00FD32FF">
        <w:rPr>
          <w:rFonts w:ascii="Times New Roman" w:eastAsia="Times New Roman" w:hAnsi="Times New Roman" w:cs="Times New Roman"/>
          <w:iCs/>
          <w:sz w:val="20"/>
          <w:szCs w:val="24"/>
          <w:lang w:eastAsia="tr-TR"/>
        </w:rPr>
        <w:t xml:space="preserve"> talepte bulunmaktadır. Eğer davalı Hükümet söz konusu talepleri önemsemezse Mahkeme bunlara uyulması için Hükümetleri zorlayamaz, ancak bunlardan belirli sonuçlar </w:t>
      </w:r>
      <w:proofErr w:type="gramStart"/>
      <w:r w:rsidRPr="00FD32FF">
        <w:rPr>
          <w:rFonts w:ascii="Times New Roman" w:eastAsia="Times New Roman" w:hAnsi="Times New Roman" w:cs="Times New Roman"/>
          <w:iCs/>
          <w:sz w:val="20"/>
          <w:szCs w:val="24"/>
          <w:lang w:eastAsia="tr-TR"/>
        </w:rPr>
        <w:t>çıkarabilir …</w:t>
      </w:r>
      <w:proofErr w:type="gramEnd"/>
      <w:r w:rsidRPr="00FD32FF">
        <w:rPr>
          <w:rFonts w:ascii="Times New Roman" w:eastAsia="Times New Roman" w:hAnsi="Times New Roman" w:cs="Times New Roman"/>
          <w:iCs/>
          <w:sz w:val="20"/>
          <w:szCs w:val="24"/>
          <w:lang w:eastAsia="tr-TR"/>
        </w:rPr>
        <w:t xml:space="preserve"> Mahkeme ayrıca bu çıkarımları birtakım bağlamsal unsurla birleştirebilir. Mahkeme </w:t>
      </w:r>
      <w:proofErr w:type="spellStart"/>
      <w:r w:rsidRPr="00FD32FF">
        <w:rPr>
          <w:rFonts w:ascii="Times New Roman" w:eastAsia="Times New Roman" w:hAnsi="Times New Roman" w:cs="Times New Roman"/>
          <w:iCs/>
          <w:sz w:val="20"/>
          <w:szCs w:val="24"/>
          <w:lang w:eastAsia="tr-TR"/>
        </w:rPr>
        <w:t>Kuralları’da</w:t>
      </w:r>
      <w:proofErr w:type="spellEnd"/>
      <w:r w:rsidRPr="00FD32FF">
        <w:rPr>
          <w:rFonts w:ascii="Times New Roman" w:eastAsia="Times New Roman" w:hAnsi="Times New Roman" w:cs="Times New Roman"/>
          <w:iCs/>
          <w:sz w:val="20"/>
          <w:szCs w:val="24"/>
          <w:lang w:eastAsia="tr-TR"/>
        </w:rPr>
        <w:t xml:space="preserve"> Kural 44C’nin 1. fıkrası uyarınca, Mahkeme’nin bu noktada hatırı sayılır genişlikte bir alanı bulunmaktadır.</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iCs/>
          <w:sz w:val="20"/>
          <w:szCs w:val="24"/>
          <w:lang w:eastAsia="tr-TR"/>
        </w:rPr>
      </w:pPr>
      <w:r w:rsidRPr="00FD32FF">
        <w:rPr>
          <w:rFonts w:ascii="Times New Roman" w:eastAsia="Times New Roman" w:hAnsi="Times New Roman" w:cs="Times New Roman"/>
          <w:iCs/>
          <w:sz w:val="20"/>
          <w:szCs w:val="24"/>
          <w:lang w:eastAsia="tr-TR"/>
        </w:rPr>
        <w:t xml:space="preserve">313. Mahkeme’nin davalı Hükümet’in davranışlarıyla ilgili çıkarımlarda bulunması </w:t>
      </w:r>
      <w:r w:rsidR="00DA1D16">
        <w:rPr>
          <w:rFonts w:ascii="Times New Roman" w:eastAsia="Times New Roman" w:hAnsi="Times New Roman" w:cs="Times New Roman"/>
          <w:iCs/>
          <w:sz w:val="20"/>
          <w:szCs w:val="24"/>
          <w:lang w:eastAsia="tr-TR"/>
        </w:rPr>
        <w:t>imkân</w:t>
      </w:r>
      <w:r w:rsidRPr="00FD32FF">
        <w:rPr>
          <w:rFonts w:ascii="Times New Roman" w:eastAsia="Times New Roman" w:hAnsi="Times New Roman" w:cs="Times New Roman"/>
          <w:iCs/>
          <w:sz w:val="20"/>
          <w:szCs w:val="24"/>
          <w:lang w:eastAsia="tr-TR"/>
        </w:rPr>
        <w:t xml:space="preserve">ı, belirli durumlarda özellikle önem taşımaktadır –örneğin yetkililer nezdinde gözaltında bulunan kişiler özelinde, ilgili bilgiye erişim yalnızca davalı Devlet’e aittir ve bu bilgiler iddiaları destekleyecek ya da çürütecektir. Bu </w:t>
      </w:r>
      <w:r w:rsidR="00DA1D16">
        <w:rPr>
          <w:rFonts w:ascii="Times New Roman" w:eastAsia="Times New Roman" w:hAnsi="Times New Roman" w:cs="Times New Roman"/>
          <w:iCs/>
          <w:sz w:val="20"/>
          <w:szCs w:val="24"/>
          <w:lang w:eastAsia="tr-TR"/>
        </w:rPr>
        <w:t>imkân</w:t>
      </w:r>
      <w:r w:rsidRPr="00FD32FF">
        <w:rPr>
          <w:rFonts w:ascii="Times New Roman" w:eastAsia="Times New Roman" w:hAnsi="Times New Roman" w:cs="Times New Roman"/>
          <w:iCs/>
          <w:sz w:val="20"/>
          <w:szCs w:val="24"/>
          <w:lang w:eastAsia="tr-TR"/>
        </w:rPr>
        <w:t>, baskın amaç iddialarıyla birlikte özellikle bir ilgi taşıyabilecektir.</w:t>
      </w:r>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iCs/>
          <w:sz w:val="20"/>
          <w:szCs w:val="24"/>
          <w:lang w:eastAsia="tr-TR"/>
        </w:rPr>
      </w:pPr>
      <w:r w:rsidRPr="00FD32FF">
        <w:rPr>
          <w:rFonts w:ascii="Times New Roman" w:eastAsia="Times New Roman" w:hAnsi="Times New Roman" w:cs="Times New Roman"/>
          <w:iCs/>
          <w:sz w:val="20"/>
          <w:szCs w:val="24"/>
          <w:lang w:eastAsia="tr-TR"/>
        </w:rPr>
        <w:lastRenderedPageBreak/>
        <w:t xml:space="preserve">314. Mahkeme’nin yaklaşımına ilişkin ikinci unsur, ispat yükü standardının ‘makul şüphenin ötesinde’ olmasıdır. Bununla birlikte bu standart, bunu sistemi benimseyen ulusal hukuk sistemleriyle bir arada var olmamaktadır. İlk olarak, söz konusu ispat açıkça güçlü, temiz ve uyumlu çıkarımlardan veya benzer itiraz edilmemiş olgusal karinelerin bir arada bulunması sonucunda oluşabilmektedir. İkinci olarak, söz konusu sonuca varılması için gereken ikna seviyesi doğası itibarıyla olguların özellikleriyle, iddiaların </w:t>
      </w:r>
      <w:proofErr w:type="gramStart"/>
      <w:r w:rsidRPr="00FD32FF">
        <w:rPr>
          <w:rFonts w:ascii="Times New Roman" w:eastAsia="Times New Roman" w:hAnsi="Times New Roman" w:cs="Times New Roman"/>
          <w:iCs/>
          <w:sz w:val="20"/>
          <w:szCs w:val="24"/>
          <w:lang w:eastAsia="tr-TR"/>
        </w:rPr>
        <w:t>yapısıyla,</w:t>
      </w:r>
      <w:proofErr w:type="gramEnd"/>
      <w:r w:rsidRPr="00FD32FF">
        <w:rPr>
          <w:rFonts w:ascii="Times New Roman" w:eastAsia="Times New Roman" w:hAnsi="Times New Roman" w:cs="Times New Roman"/>
          <w:iCs/>
          <w:sz w:val="20"/>
          <w:szCs w:val="24"/>
          <w:lang w:eastAsia="tr-TR"/>
        </w:rPr>
        <w:t xml:space="preserve"> ve risk altında bulunan Sözleşme hakkıyla ile bağlantılıdır. Mahkeme bu hususları istikrarlı bir şekilde </w:t>
      </w:r>
      <w:proofErr w:type="gramStart"/>
      <w:r w:rsidRPr="00FD32FF">
        <w:rPr>
          <w:rFonts w:ascii="Times New Roman" w:eastAsia="Times New Roman" w:hAnsi="Times New Roman" w:cs="Times New Roman"/>
          <w:iCs/>
          <w:sz w:val="20"/>
          <w:szCs w:val="24"/>
          <w:lang w:eastAsia="tr-TR"/>
        </w:rPr>
        <w:t>tekrarlamıştır …</w:t>
      </w:r>
      <w:proofErr w:type="gramEnd"/>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4"/>
          <w:lang w:eastAsia="tr-TR"/>
        </w:rPr>
      </w:pPr>
      <w:r w:rsidRPr="00FD32FF">
        <w:rPr>
          <w:rFonts w:ascii="Times New Roman" w:eastAsia="Times New Roman" w:hAnsi="Times New Roman" w:cs="Times New Roman"/>
          <w:iCs/>
          <w:sz w:val="20"/>
          <w:szCs w:val="24"/>
          <w:lang w:eastAsia="tr-TR"/>
        </w:rPr>
        <w:t xml:space="preserve">315. Mahkeme’nin yaklaşımına ilişkin üçüncü unsur, ayrıca </w:t>
      </w:r>
      <w:r w:rsidRPr="00FD32FF">
        <w:rPr>
          <w:rFonts w:ascii="Times New Roman" w:eastAsia="Times New Roman" w:hAnsi="Times New Roman" w:cs="Times New Roman"/>
          <w:i/>
          <w:sz w:val="20"/>
          <w:szCs w:val="24"/>
          <w:lang w:eastAsia="tr-TR"/>
        </w:rPr>
        <w:t xml:space="preserve">İrlanda v. Birleşik Krallık </w:t>
      </w:r>
      <w:r w:rsidRPr="00FD32FF">
        <w:rPr>
          <w:rFonts w:ascii="Times New Roman" w:eastAsia="Times New Roman" w:hAnsi="Times New Roman" w:cs="Times New Roman"/>
          <w:sz w:val="20"/>
          <w:szCs w:val="24"/>
          <w:lang w:eastAsia="tr-TR"/>
        </w:rPr>
        <w:t xml:space="preserve">kadar erken tarihli davalarda da tespit edildiği </w:t>
      </w:r>
      <w:proofErr w:type="gramStart"/>
      <w:r w:rsidRPr="00FD32FF">
        <w:rPr>
          <w:rFonts w:ascii="Times New Roman" w:eastAsia="Times New Roman" w:hAnsi="Times New Roman" w:cs="Times New Roman"/>
          <w:sz w:val="20"/>
          <w:szCs w:val="24"/>
          <w:lang w:eastAsia="tr-TR"/>
        </w:rPr>
        <w:t>üzere …</w:t>
      </w:r>
      <w:proofErr w:type="gramEnd"/>
      <w:r w:rsidRPr="00FD32FF">
        <w:rPr>
          <w:rFonts w:ascii="Times New Roman" w:eastAsia="Times New Roman" w:hAnsi="Times New Roman" w:cs="Times New Roman"/>
          <w:sz w:val="20"/>
          <w:szCs w:val="24"/>
          <w:lang w:eastAsia="tr-TR"/>
        </w:rPr>
        <w:t xml:space="preserve"> Mahkeme’nin yalnızca kabul edilebilirlik ve ilgili olmaya ilişkin değil, aynı zamanda önündeki her delinin ispat değerine ilişkin de karar verebilir.</w:t>
      </w:r>
      <w:r w:rsidRPr="00FD32FF">
        <w:rPr>
          <w:rFonts w:ascii="Times New Roman" w:eastAsia="Times New Roman" w:hAnsi="Times New Roman" w:cs="Times New Roman"/>
          <w:i/>
          <w:sz w:val="20"/>
          <w:szCs w:val="24"/>
          <w:lang w:eastAsia="tr-TR"/>
        </w:rPr>
        <w:t xml:space="preserve"> </w:t>
      </w:r>
      <w:proofErr w:type="spellStart"/>
      <w:r w:rsidRPr="00FD32FF">
        <w:rPr>
          <w:rFonts w:ascii="Times New Roman" w:eastAsia="Times New Roman" w:hAnsi="Times New Roman" w:cs="Times New Roman"/>
          <w:i/>
          <w:sz w:val="20"/>
          <w:szCs w:val="24"/>
          <w:lang w:eastAsia="tr-TR"/>
        </w:rPr>
        <w:t>Nachova</w:t>
      </w:r>
      <w:proofErr w:type="spellEnd"/>
      <w:r w:rsidRPr="00FD32FF">
        <w:rPr>
          <w:rFonts w:ascii="Times New Roman" w:eastAsia="Times New Roman" w:hAnsi="Times New Roman" w:cs="Times New Roman"/>
          <w:i/>
          <w:sz w:val="20"/>
          <w:szCs w:val="24"/>
          <w:lang w:eastAsia="tr-TR"/>
        </w:rPr>
        <w:t xml:space="preserve"> ve </w:t>
      </w:r>
      <w:proofErr w:type="spellStart"/>
      <w:proofErr w:type="gramStart"/>
      <w:r w:rsidRPr="00FD32FF">
        <w:rPr>
          <w:rFonts w:ascii="Times New Roman" w:eastAsia="Times New Roman" w:hAnsi="Times New Roman" w:cs="Times New Roman"/>
          <w:i/>
          <w:sz w:val="20"/>
          <w:szCs w:val="24"/>
          <w:lang w:eastAsia="tr-TR"/>
        </w:rPr>
        <w:t>Diğerleri</w:t>
      </w:r>
      <w:r w:rsidRPr="00FD32FF">
        <w:rPr>
          <w:rFonts w:ascii="Times New Roman" w:eastAsia="Times New Roman" w:hAnsi="Times New Roman" w:cs="Times New Roman"/>
          <w:sz w:val="20"/>
          <w:szCs w:val="24"/>
          <w:lang w:eastAsia="tr-TR"/>
        </w:rPr>
        <w:t>’nde</w:t>
      </w:r>
      <w:proofErr w:type="spellEnd"/>
      <w:r w:rsidRPr="00FD32FF">
        <w:rPr>
          <w:rFonts w:ascii="Times New Roman" w:eastAsia="Times New Roman" w:hAnsi="Times New Roman" w:cs="Times New Roman"/>
          <w:sz w:val="20"/>
          <w:szCs w:val="24"/>
          <w:lang w:eastAsia="tr-TR"/>
        </w:rPr>
        <w:t xml:space="preserve"> …</w:t>
      </w:r>
      <w:proofErr w:type="gramEnd"/>
      <w:r w:rsidRPr="00FD32FF">
        <w:rPr>
          <w:rFonts w:ascii="Times New Roman" w:eastAsia="Times New Roman" w:hAnsi="Times New Roman" w:cs="Times New Roman"/>
          <w:sz w:val="20"/>
          <w:szCs w:val="24"/>
          <w:lang w:eastAsia="tr-TR"/>
        </w:rPr>
        <w:t xml:space="preserve"> Mahkeme, bu hususu daha da açıklığa kavuşturmuş ve delillerin değerlendirilmesinde formüllere bağlı olmadığını ve bütün delillerin serbestçe değerlendirilmesi aracılığıyla sonuçlara ulaştığını, bunlara olgulardan ve tarafların beyanlarından görülebilecek çıkarımların da dâhil olduğunu belirtmiştir. Mahkeme ayrıca bir tarafça potansiyel olarak karşı kaşıya kalınan özel ispat zorluklarına karşı hassastır. Mahkeme istikrarlı olarak bu pozisyonunu işletmiş ve Sözleşme’nin çeşitli maddeleri altında </w:t>
      </w:r>
      <w:proofErr w:type="gramStart"/>
      <w:r w:rsidRPr="00FD32FF">
        <w:rPr>
          <w:rFonts w:ascii="Times New Roman" w:eastAsia="Times New Roman" w:hAnsi="Times New Roman" w:cs="Times New Roman"/>
          <w:sz w:val="20"/>
          <w:szCs w:val="24"/>
          <w:lang w:eastAsia="tr-TR"/>
        </w:rPr>
        <w:t>uygulamıştır …</w:t>
      </w:r>
      <w:proofErr w:type="gramEnd"/>
    </w:p>
    <w:p w:rsidR="004738DA" w:rsidRPr="00FD32FF"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t>316. Bu sebeple Sözleşme’nin 18. maddesi altında yapılan şikâyetlerle ilgili olarak Mahkeme’nin kendini doğrudan kanıtlarla sınırlaması için ya da söz konusu iddialar için özel bir ispat yükü uygulaması için bir sebep bulunmamaktadır.</w:t>
      </w:r>
    </w:p>
    <w:p w:rsidR="004738DA" w:rsidRDefault="004738DA" w:rsidP="004738DA">
      <w:pPr>
        <w:shd w:val="clear" w:color="auto" w:fill="FFFFFF"/>
        <w:spacing w:before="120" w:after="120" w:line="240" w:lineRule="auto"/>
        <w:ind w:left="425" w:firstLine="142"/>
        <w:jc w:val="both"/>
        <w:rPr>
          <w:rFonts w:ascii="Times New Roman" w:eastAsia="Times New Roman" w:hAnsi="Times New Roman" w:cs="Times New Roman"/>
          <w:sz w:val="20"/>
          <w:szCs w:val="20"/>
          <w:lang w:eastAsia="tr-TR"/>
        </w:rPr>
      </w:pPr>
      <w:r w:rsidRPr="00FD32FF">
        <w:rPr>
          <w:rFonts w:ascii="Times New Roman" w:eastAsia="Times New Roman" w:hAnsi="Times New Roman" w:cs="Times New Roman"/>
          <w:sz w:val="20"/>
          <w:szCs w:val="20"/>
          <w:lang w:eastAsia="tr-TR"/>
        </w:rPr>
        <w:t xml:space="preserve">317. Mahkeme bununla birlikte koşullara bağlı olan delillerin, birincil olgulardan oluşan bilgiler bağlamında ya da birincil olgular hakkında çıkarım yapmaya temel sağlayacak bağlamsal olguların veya olay örüntülerinden oluştuğunun özellikle altını </w:t>
      </w:r>
      <w:proofErr w:type="gramStart"/>
      <w:r w:rsidRPr="00FD32FF">
        <w:rPr>
          <w:rFonts w:ascii="Times New Roman" w:eastAsia="Times New Roman" w:hAnsi="Times New Roman" w:cs="Times New Roman"/>
          <w:sz w:val="20"/>
          <w:szCs w:val="20"/>
          <w:lang w:eastAsia="tr-TR"/>
        </w:rPr>
        <w:t>çizmelidir …</w:t>
      </w:r>
      <w:proofErr w:type="gramEnd"/>
      <w:r w:rsidRPr="00FD32FF">
        <w:rPr>
          <w:rFonts w:ascii="Times New Roman" w:eastAsia="Times New Roman" w:hAnsi="Times New Roman" w:cs="Times New Roman"/>
          <w:sz w:val="20"/>
          <w:szCs w:val="20"/>
          <w:lang w:eastAsia="tr-TR"/>
        </w:rPr>
        <w:t xml:space="preserve"> Uluslararası gözlem ya da sivil toplum kuruluşlarının ya da medyanın rapor ve beyanları, ya da diğer ulusal veya uluslararası mahkemelerin kararları genellikle özel olarak dikkate alınmakta ve Mahkeme tarafından olgulara ışık tutması ve olguları desteklemesi bakımından yapılan tespitlerde kullanılmaktadır …”</w:t>
      </w:r>
    </w:p>
    <w:p w:rsidR="00A92996" w:rsidRPr="00FD32FF" w:rsidRDefault="00A92996" w:rsidP="004738DA">
      <w:pPr>
        <w:shd w:val="clear" w:color="auto" w:fill="FFFFFF"/>
        <w:spacing w:before="120" w:after="120" w:line="240" w:lineRule="auto"/>
        <w:ind w:left="425" w:firstLine="142"/>
        <w:jc w:val="both"/>
        <w:rPr>
          <w:rFonts w:ascii="Times New Roman" w:eastAsia="Times New Roman" w:hAnsi="Times New Roman" w:cs="Times New Roman"/>
          <w:sz w:val="17"/>
          <w:szCs w:val="17"/>
          <w:lang w:eastAsia="tr-TR"/>
        </w:rPr>
      </w:pPr>
    </w:p>
    <w:p w:rsidR="004738DA" w:rsidRPr="00A92996" w:rsidRDefault="004738DA" w:rsidP="00A92996">
      <w:pPr>
        <w:pStyle w:val="Balk3"/>
      </w:pPr>
      <w:r w:rsidRPr="00A92996">
        <w:t xml:space="preserve">Yukarıda belirtilen ilkelerin mevcut davaya uygulanması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423. Mevcut davada Mahkeme, başvurucunun tutukluluğunun Sözleşme’nin 5. maddesinin 1. fıkrasının c bendi uyarınca “makul </w:t>
      </w:r>
      <w:proofErr w:type="spellStart"/>
      <w:r w:rsidRPr="00FD32FF">
        <w:rPr>
          <w:rFonts w:ascii="Times New Roman" w:eastAsia="Times New Roman" w:hAnsi="Times New Roman" w:cs="Times New Roman"/>
          <w:sz w:val="24"/>
          <w:szCs w:val="24"/>
          <w:lang w:eastAsia="tr-TR"/>
        </w:rPr>
        <w:t>şüphe”ye</w:t>
      </w:r>
      <w:proofErr w:type="spellEnd"/>
      <w:r w:rsidRPr="00FD32FF">
        <w:rPr>
          <w:rFonts w:ascii="Times New Roman" w:eastAsia="Times New Roman" w:hAnsi="Times New Roman" w:cs="Times New Roman"/>
          <w:sz w:val="24"/>
          <w:szCs w:val="24"/>
          <w:lang w:eastAsia="tr-TR"/>
        </w:rPr>
        <w:t xml:space="preserve"> dayanmadığını tespit ettiğini (bakınız yukarıda 338 ve 339. paragraflar) tekrarlamaktadır. Mahkeme’ye göre, Sözleşme’nin 5. maddesinin 1. fıkrasının ihlal edildiğine karar verilmesi, tek başına, Sözleşme’nin 18. maddesinin de ihlal edildiği sonucuna ulaşmak için yeterli değildir. (bakınız </w:t>
      </w:r>
      <w:proofErr w:type="spellStart"/>
      <w:r w:rsidRPr="00FD32FF">
        <w:rPr>
          <w:rFonts w:ascii="Times New Roman" w:eastAsia="Times New Roman" w:hAnsi="Times New Roman" w:cs="Times New Roman"/>
          <w:i/>
          <w:sz w:val="24"/>
          <w:szCs w:val="24"/>
          <w:lang w:eastAsia="tr-TR"/>
        </w:rPr>
        <w:t>Navalnyy</w:t>
      </w:r>
      <w:proofErr w:type="spellEnd"/>
      <w:r w:rsidRPr="00FD32FF">
        <w:rPr>
          <w:rFonts w:ascii="Times New Roman" w:eastAsia="Times New Roman" w:hAnsi="Times New Roman" w:cs="Times New Roman"/>
          <w:sz w:val="24"/>
          <w:szCs w:val="24"/>
          <w:lang w:eastAsia="tr-TR"/>
        </w:rPr>
        <w:t xml:space="preserve">, yukarda anılan, § 166) Mahkeme, makul şüphenin yokluğunda, Sözleşme’nin 18. maddesi doğrultusunda tespit edilebilir bir baskın amacın olup olmadığına karar verecektir.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424.  Başvurucunun temel şikâyeti, Türkiye’deki iktidar partisine muhalefet etmesi sebebiyle özellikle hedef gösterildiği ve özgürlüğünden alıkonulduğu üzerinedir. Başvurucu, tutuklanmasındaki ve tutukluluk halinin devam ettirilmesindeki amacın kendisini susturma amacı taşıdığını ileri sürmüştür. </w:t>
      </w:r>
      <w:proofErr w:type="gramStart"/>
      <w:r w:rsidRPr="00FD32FF">
        <w:rPr>
          <w:rFonts w:ascii="Times New Roman" w:eastAsia="Times New Roman" w:hAnsi="Times New Roman" w:cs="Times New Roman"/>
          <w:sz w:val="24"/>
          <w:szCs w:val="24"/>
          <w:lang w:eastAsia="tr-TR"/>
        </w:rPr>
        <w:t xml:space="preserve">Bu bağlamda, Avrupa Konseyi İnsan Hakları </w:t>
      </w:r>
      <w:proofErr w:type="spellStart"/>
      <w:r w:rsidRPr="00FD32FF">
        <w:rPr>
          <w:rFonts w:ascii="Times New Roman" w:eastAsia="Times New Roman" w:hAnsi="Times New Roman" w:cs="Times New Roman"/>
          <w:sz w:val="24"/>
          <w:szCs w:val="24"/>
          <w:lang w:eastAsia="tr-TR"/>
        </w:rPr>
        <w:t>Komiseri’nin</w:t>
      </w:r>
      <w:proofErr w:type="spellEnd"/>
      <w:r w:rsidRPr="00FD32FF">
        <w:rPr>
          <w:rFonts w:ascii="Times New Roman" w:eastAsia="Times New Roman" w:hAnsi="Times New Roman" w:cs="Times New Roman"/>
          <w:sz w:val="24"/>
          <w:szCs w:val="24"/>
          <w:lang w:eastAsia="tr-TR"/>
        </w:rPr>
        <w:t xml:space="preserve"> 2016 yılında Türkiye’ye yaptığı ziyaret sonucunda hazırladığı memorandumu, Venedik Komisyonu’nun Anayasa değişikliklerine ilişkin hazırladığı görüşü, Uluslararası Af Örgütü raporu ve davaya </w:t>
      </w:r>
      <w:proofErr w:type="spellStart"/>
      <w:r w:rsidRPr="00FD32FF">
        <w:rPr>
          <w:rFonts w:ascii="Times New Roman" w:eastAsia="Times New Roman" w:hAnsi="Times New Roman" w:cs="Times New Roman"/>
          <w:sz w:val="24"/>
          <w:szCs w:val="24"/>
          <w:lang w:eastAsia="tr-TR"/>
        </w:rPr>
        <w:t>mü</w:t>
      </w:r>
      <w:r w:rsidR="00DA1D16">
        <w:rPr>
          <w:rFonts w:ascii="Times New Roman" w:eastAsia="Times New Roman" w:hAnsi="Times New Roman" w:cs="Times New Roman"/>
          <w:sz w:val="24"/>
          <w:szCs w:val="24"/>
          <w:lang w:eastAsia="tr-TR"/>
        </w:rPr>
        <w:t>dâhil</w:t>
      </w:r>
      <w:proofErr w:type="spellEnd"/>
      <w:r w:rsidRPr="00FD32FF">
        <w:rPr>
          <w:rFonts w:ascii="Times New Roman" w:eastAsia="Times New Roman" w:hAnsi="Times New Roman" w:cs="Times New Roman"/>
          <w:sz w:val="24"/>
          <w:szCs w:val="24"/>
          <w:lang w:eastAsia="tr-TR"/>
        </w:rPr>
        <w:t xml:space="preserve"> olan </w:t>
      </w:r>
      <w:r w:rsidRPr="00FD32FF">
        <w:rPr>
          <w:rFonts w:ascii="Times New Roman" w:eastAsia="Times New Roman" w:hAnsi="Times New Roman" w:cs="Times New Roman"/>
          <w:sz w:val="24"/>
          <w:szCs w:val="24"/>
          <w:lang w:eastAsia="tr-TR"/>
        </w:rPr>
        <w:lastRenderedPageBreak/>
        <w:t xml:space="preserve">üçüncü tarafların görüşleri ışığında Mahkeme’ye göre, başvurucunun Türkiye’deki muhalefet içerisinde simgesel bir lider rolü bulunmakta; 2014’ten bu yana süren gergin siyasi atmosfer ve aralarında Cumhurbaşkanı’nın da olduğu, başvurucunun siyasi muhaliflerle ilgili yaptığı açıklamalar doğrultusunda, tarafsız bir gözlemcinin başvurucunun tutuklanması ve tutukluluğunun devam ettirilmesinin siyasi amaçlı olduğundan şüphe etmesi anlaşılırdır. </w:t>
      </w:r>
      <w:proofErr w:type="gramEnd"/>
      <w:r w:rsidRPr="00FD32FF">
        <w:rPr>
          <w:rFonts w:ascii="Times New Roman" w:eastAsia="Times New Roman" w:hAnsi="Times New Roman" w:cs="Times New Roman"/>
          <w:sz w:val="24"/>
          <w:szCs w:val="24"/>
          <w:lang w:eastAsia="tr-TR"/>
        </w:rPr>
        <w:t xml:space="preserve">Ancak Mahkeme’nin daha önce de belirttiği gibi, bir siyasetçisinin seçim kampanyası ya da referandum sırasında olsa dahi, tek başına soruşturma geçirmesinin ya da tutuklanmasının otomatik olarak siyasi tartışmayı sınırlandırma amacı taşıdığı söylenemez. (bakınız </w:t>
      </w:r>
      <w:proofErr w:type="spellStart"/>
      <w:r w:rsidRPr="00FD32FF">
        <w:rPr>
          <w:rFonts w:ascii="Times New Roman" w:eastAsia="Times New Roman" w:hAnsi="Times New Roman" w:cs="Times New Roman"/>
          <w:i/>
          <w:iCs/>
          <w:sz w:val="24"/>
          <w:szCs w:val="24"/>
          <w:lang w:eastAsia="tr-TR"/>
        </w:rPr>
        <w:t>Merabishvili</w:t>
      </w:r>
      <w:proofErr w:type="spellEnd"/>
      <w:r w:rsidRPr="00FD32FF">
        <w:rPr>
          <w:rFonts w:ascii="Times New Roman" w:eastAsia="Times New Roman" w:hAnsi="Times New Roman" w:cs="Times New Roman"/>
          <w:sz w:val="24"/>
          <w:szCs w:val="24"/>
          <w:lang w:eastAsia="tr-TR"/>
        </w:rPr>
        <w:t>, yukarıda anılan, § 323)</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425.  Başvurucunun şikâyetinde belirttiği bağlam bakımından Mahkeme, başvurucunun Sözleşme’nin 5. maddesine aykırı olarak tutuklanmasına ve tutukluluk halinin devamına karar veren yerel mahkeme kararlarının, başvurucunun Türkiye siyaset sahnesinden silinmesi ve muhalefet partisi liderlerinden biri olarak onun susturulması baskın amacını taşıyıp taşımadığını inceleyecektir.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bookmarkStart w:id="39" w:name="argumentskirkaltidebut"/>
      <w:r w:rsidRPr="00FD32FF">
        <w:rPr>
          <w:rFonts w:ascii="Times New Roman" w:eastAsia="Times New Roman" w:hAnsi="Times New Roman" w:cs="Times New Roman"/>
          <w:sz w:val="24"/>
          <w:szCs w:val="24"/>
          <w:lang w:eastAsia="tr-TR"/>
        </w:rPr>
        <w:t>426</w:t>
      </w:r>
      <w:bookmarkEnd w:id="39"/>
      <w:r w:rsidRPr="00FD32FF">
        <w:rPr>
          <w:rFonts w:ascii="Times New Roman" w:eastAsia="Times New Roman" w:hAnsi="Times New Roman" w:cs="Times New Roman"/>
          <w:sz w:val="24"/>
          <w:szCs w:val="24"/>
          <w:lang w:eastAsia="tr-TR"/>
        </w:rPr>
        <w:t xml:space="preserve">.  Bu bağlamda Mahkeme, ilk olarak, 2014 yılından dahi önce, savcılıkların Meclis Genel Kurulu’na başvurucu hakkında bazı fezlekeler sunduğunu not etmektedir. Ancak, “çözüm </w:t>
      </w:r>
      <w:proofErr w:type="spellStart"/>
      <w:r w:rsidRPr="00FD32FF">
        <w:rPr>
          <w:rFonts w:ascii="Times New Roman" w:eastAsia="Times New Roman" w:hAnsi="Times New Roman" w:cs="Times New Roman"/>
          <w:sz w:val="24"/>
          <w:szCs w:val="24"/>
          <w:lang w:eastAsia="tr-TR"/>
        </w:rPr>
        <w:t>süreci”nin</w:t>
      </w:r>
      <w:proofErr w:type="spellEnd"/>
      <w:r w:rsidRPr="00FD32FF">
        <w:rPr>
          <w:rFonts w:ascii="Times New Roman" w:eastAsia="Times New Roman" w:hAnsi="Times New Roman" w:cs="Times New Roman"/>
          <w:sz w:val="24"/>
          <w:szCs w:val="24"/>
          <w:lang w:eastAsia="tr-TR"/>
        </w:rPr>
        <w:t xml:space="preserve"> sona ermesine kadar ve büyük oranda </w:t>
      </w:r>
      <w:proofErr w:type="spellStart"/>
      <w:r w:rsidRPr="00FD32FF">
        <w:rPr>
          <w:rFonts w:ascii="Times New Roman" w:eastAsia="Times New Roman" w:hAnsi="Times New Roman" w:cs="Times New Roman"/>
          <w:sz w:val="24"/>
          <w:szCs w:val="24"/>
          <w:lang w:eastAsia="tr-TR"/>
        </w:rPr>
        <w:t>HDP’nin</w:t>
      </w:r>
      <w:proofErr w:type="spellEnd"/>
      <w:r w:rsidRPr="00FD32FF">
        <w:rPr>
          <w:rFonts w:ascii="Times New Roman" w:eastAsia="Times New Roman" w:hAnsi="Times New Roman" w:cs="Times New Roman"/>
          <w:sz w:val="24"/>
          <w:szCs w:val="24"/>
          <w:lang w:eastAsia="tr-TR"/>
        </w:rPr>
        <w:t xml:space="preserve"> başarısı sebebiyle, iktidar partisinin 2002 yılından bu yana Meclis’te ilk kez çoğunluğu kaybettiği 7 Haziran 2015 seçimlerine kadar hiçbir önlem alınmamıştır. Gerçekten, HDP ile Cumhurbaşkanı ve iktidar partisi arasında siyasi bir gerilim başlayana kadar, başvurucu özgürlüğünden alıkonulma riskiyle karşı karşıya kalmamıştır. Ancak “çözüm </w:t>
      </w:r>
      <w:proofErr w:type="spellStart"/>
      <w:r w:rsidRPr="00FD32FF">
        <w:rPr>
          <w:rFonts w:ascii="Times New Roman" w:eastAsia="Times New Roman" w:hAnsi="Times New Roman" w:cs="Times New Roman"/>
          <w:sz w:val="24"/>
          <w:szCs w:val="24"/>
          <w:lang w:eastAsia="tr-TR"/>
        </w:rPr>
        <w:t>süreci”nin</w:t>
      </w:r>
      <w:proofErr w:type="spellEnd"/>
      <w:r w:rsidRPr="00FD32FF">
        <w:rPr>
          <w:rFonts w:ascii="Times New Roman" w:eastAsia="Times New Roman" w:hAnsi="Times New Roman" w:cs="Times New Roman"/>
          <w:sz w:val="24"/>
          <w:szCs w:val="24"/>
          <w:lang w:eastAsia="tr-TR"/>
        </w:rPr>
        <w:t xml:space="preserve"> sona ermesinin ve örneğin 28 Temmuz 2015’te “HDP liderleri bedelini ödeyecek” diyen Cumhurbaşkanı’nın açıklamalarının ardından, başvurucu hakkında hazırlanan ceza soruşturmalarının sayısı ve hazırlanma hızı artmaya başlamıştır.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427.  20 Mayıs 2016 tarihinde Anayasa değişikliğinin kabul edilmesiyle, 154 milletvekilinin dokunulmazlıkları kaldırılmıştır. Bunun sonucu olarak, o dönem 59 milletvekili olan HDP kendini 55 milletvekilinin Anayasa’nın 83. maddesinin 2. fıkrasında düzenlenen yasama dokunulmazlığının kaldırıldığı bir durumda bulmuştur. Buna ek olarak, aralarında eş genel başkanların da olduğu 14 HDP milletvekili tutuklanmıştır. Mahkeme, başvurucunun iddiasının aksine, Hükümet’in yalnızca </w:t>
      </w:r>
      <w:proofErr w:type="spellStart"/>
      <w:r w:rsidRPr="00FD32FF">
        <w:rPr>
          <w:rFonts w:ascii="Times New Roman" w:eastAsia="Times New Roman" w:hAnsi="Times New Roman" w:cs="Times New Roman"/>
          <w:sz w:val="24"/>
          <w:szCs w:val="24"/>
          <w:lang w:eastAsia="tr-TR"/>
        </w:rPr>
        <w:t>HDP’li</w:t>
      </w:r>
      <w:proofErr w:type="spellEnd"/>
      <w:r w:rsidRPr="00FD32FF">
        <w:rPr>
          <w:rFonts w:ascii="Times New Roman" w:eastAsia="Times New Roman" w:hAnsi="Times New Roman" w:cs="Times New Roman"/>
          <w:sz w:val="24"/>
          <w:szCs w:val="24"/>
          <w:lang w:eastAsia="tr-TR"/>
        </w:rPr>
        <w:t xml:space="preserve"> milletvekillerinin ceza yargılamalarında ceza almadığı iddiasını gözlemlemektedir. Hükümet görüşlerinde, AKP’den beş, CHP’den dokuz ve MHP’den bir milletvekilinin dokunulmazlıkları kaldırıldıktan sonra ceza aldığını belirtmiştir. 18 Eylül 2019 tarihli duruşmada, bu durum taraflara özel olarak sorulmuştur. Hükümet, iddialarını tekrarlamış ancak iktidar partisi bloğundan – yani AKP ve MHP üyesi milletvekillerinin ceza aldığını ve/veya tutuklandığını ortaya koyamamıştır. Dolayısıyla, bu iddiayı destekleyecek herhangi bir olmadığı için Mahkeme, Hükümet’in bu </w:t>
      </w:r>
      <w:proofErr w:type="gramStart"/>
      <w:r w:rsidRPr="00FD32FF">
        <w:rPr>
          <w:rFonts w:ascii="Times New Roman" w:eastAsia="Times New Roman" w:hAnsi="Times New Roman" w:cs="Times New Roman"/>
          <w:sz w:val="24"/>
          <w:szCs w:val="24"/>
          <w:lang w:eastAsia="tr-TR"/>
        </w:rPr>
        <w:lastRenderedPageBreak/>
        <w:t>argümanına</w:t>
      </w:r>
      <w:proofErr w:type="gramEnd"/>
      <w:r w:rsidRPr="00FD32FF">
        <w:rPr>
          <w:rFonts w:ascii="Times New Roman" w:eastAsia="Times New Roman" w:hAnsi="Times New Roman" w:cs="Times New Roman"/>
          <w:sz w:val="24"/>
          <w:szCs w:val="24"/>
          <w:lang w:eastAsia="tr-TR"/>
        </w:rPr>
        <w:t xml:space="preserve"> ehemmiyet verememektedir. Bu nedenle Mahkeme, yalnızca muhalefet partileri CHP ve HDP milletvekillerinin haklarında başlatılan ceza yargılamalarında tutuklandığı ve/veya ceza aldığı sonucuna varmaktadır. Bir başka deyişle, Millet Meclisi üyeleri arasında, 20 Mayıs 2016 tarihli Anayasa değişikliğinden gerçekten etkilenen yalnızca muhalefet partisi milletvekilleri olmuştur.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428.  </w:t>
      </w:r>
      <w:proofErr w:type="spellStart"/>
      <w:r w:rsidRPr="00FD32FF">
        <w:rPr>
          <w:rFonts w:ascii="Times New Roman" w:eastAsia="Times New Roman" w:hAnsi="Times New Roman" w:cs="Times New Roman"/>
          <w:sz w:val="24"/>
          <w:szCs w:val="24"/>
          <w:lang w:eastAsia="tr-TR"/>
        </w:rPr>
        <w:t>HDP’den</w:t>
      </w:r>
      <w:proofErr w:type="spellEnd"/>
      <w:r w:rsidRPr="00FD32FF">
        <w:rPr>
          <w:rFonts w:ascii="Times New Roman" w:eastAsia="Times New Roman" w:hAnsi="Times New Roman" w:cs="Times New Roman"/>
          <w:sz w:val="24"/>
          <w:szCs w:val="24"/>
          <w:lang w:eastAsia="tr-TR"/>
        </w:rPr>
        <w:t xml:space="preserve"> tanınmış birçok kişi ve seçilmiş belediye başkanları da tutuklanmıştır. Her ne kadar bu kişiler hakkında başlatılan ceza yargılamalarının içeriğine erişilemese de, Mahkeme değişik raporlara ve uluslararası gözlemcilerin görüşlerine göre, bu kişilerin özgürlüklerinden alıkonulmalarının tek sebebinin siyasi açıklamaları olduğunu gözlemlemektedir. Bu koşullarda Mahkeme, ulusal kanunların artarak muhalif sesleri susturmak amacıyla kullanılmaya başlandığını söyleyen İnsan Hakları Komiseri başta olmak üzere, üçüncü tarafların görüşlerine kayda değer bir önem atfetmektedir. Mahkeme, bu sebeple, başvurucunun tutuklanmasının ve tutukluluk halinin devam ettirilmesinin, münferit bir örnek olmadığını düşünmektedir. Tam tersine, belirli bir örüntü izlediği görülmektedir.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429. Buna ek olarak, başvurucunun tutuklanmasının ve tutukluluğunun devam ettirilmesinin zamanlaması da Sözleşme’nin 18. maddesi altında yapılacak incelemede dikkate alınacak bir başka faktördür. Bu bağlamda Mahkeme, başvurucunun 16 Nisan 2017 tarihli referandum ve 24 Haziran 2018 tarihli cumhurbaşkanlığı seçimi olmak üzere, iki kritik seçim kampanyası sırasında özgürlüğünden yoksun kılındığını gözlemlemektedir.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430.  Bununla bağlantılı olarak Mahkeme, ilk olarak, başvurucunun o dönem Cumhurbaşkanı Erdoğan tarafından önerilen herhangi bir başkanlık sistemine sert bir şekilde karşı çıktığını dile getirdiğini ve bunun AKP ve HDP liderleri arasından büyük bir anlaşmazlığa yol açtığını gözlemlemektedir. Türkiye Cumhuriyeti’nin kurulduğu 1923 yılından bu yana belki de en önemli anayasal reformlarından birine ilişkin Türkiye kamuoyunda tartışmalar sürerken, başvurucu, Sözleşme’nin 5. maddesinin 1. ve 3. fıkralarına, 10. maddesine ve Ek 1 Numaralı Protokol’ün 3. maddesine aykırı bir şekilde tutuklu kalmıştır. Mahkeme’nin belirttiği üzere, serbest seçimler ve ifade özgürlüğü, özellikle siyasi tartışma özgürlüğü, demokrasinin temelini oluşturmaktadır. (bakınız yukarıda 383. paragraf) Bu, anayasa referandumu bağlamında da geçerlidir. Mahkeme’ye göre, başvurucunun tutukluluğu onu tartışmasız bir şekilde Türkiye’ye başkanlık sistemi getirilmesine karşı etkili bir kampanya yürütmekten alıkoymuştur.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431.  Tutuklu olan başvurucu da dâhil, altı aday 24 Haziran 2018 tarihli cumhurbaşkanlığı seçimine katılmıştır. Başvurucu, bu sebeple, diğer adaylardan daha zor koşullar altında, cezaevinde seçim kampanyası yürütmek zorunda kalmıştır. Başvurucunun siyasi muhaliflerinin, onun özgürlüğünden alıkonulmasından faydalandığı görülmektedir.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lastRenderedPageBreak/>
        <w:t>432.  Mahkeme, başvurucunun ikinci kez tutuklanmasının koşullarını da not etmektedir. (bakınız yukarıda 114 ve 118. paragraflar) Mahkeme, bu bağlamda, Ankara Ağır Ceza Mahkemesi’nin 2 Eylül 2019 tarihinde başvurucuyu tahliye ettiğini gözlemlemektedir. Bu karara karşın, İstanbul Ağır Ceza Mahkemesi’ndeki ceza yargılamasında verilen hapis cezasının sonucu olarak başvurucu cezaevinde kalmıştır. 20 Eylül 2019 tarihinde, İstanbul 26. Ağır Ceza Mahkemesi</w:t>
      </w:r>
      <w:r w:rsidR="00DE6449">
        <w:rPr>
          <w:rFonts w:ascii="Times New Roman" w:eastAsia="Times New Roman" w:hAnsi="Times New Roman" w:cs="Times New Roman"/>
          <w:sz w:val="24"/>
          <w:szCs w:val="24"/>
          <w:lang w:eastAsia="tr-TR"/>
        </w:rPr>
        <w:t xml:space="preserve"> verilen kesin hapis cezasından</w:t>
      </w:r>
      <w:r w:rsidRPr="00FD32FF">
        <w:rPr>
          <w:rFonts w:ascii="Times New Roman" w:eastAsia="Times New Roman" w:hAnsi="Times New Roman" w:cs="Times New Roman"/>
          <w:sz w:val="24"/>
          <w:szCs w:val="24"/>
          <w:lang w:eastAsia="tr-TR"/>
        </w:rPr>
        <w:t xml:space="preserve">, başvurucunun </w:t>
      </w:r>
      <w:r w:rsidR="00DE6449">
        <w:rPr>
          <w:rFonts w:ascii="Times New Roman" w:eastAsia="Times New Roman" w:hAnsi="Times New Roman" w:cs="Times New Roman"/>
          <w:sz w:val="24"/>
          <w:szCs w:val="24"/>
          <w:lang w:eastAsia="tr-TR"/>
        </w:rPr>
        <w:t xml:space="preserve">Ankara Ağır Ceza Mahkemesi’ndeki yargılama kapsamında </w:t>
      </w:r>
      <w:r w:rsidRPr="00FD32FF">
        <w:rPr>
          <w:rFonts w:ascii="Times New Roman" w:eastAsia="Times New Roman" w:hAnsi="Times New Roman" w:cs="Times New Roman"/>
          <w:sz w:val="24"/>
          <w:szCs w:val="24"/>
          <w:lang w:eastAsia="tr-TR"/>
        </w:rPr>
        <w:t xml:space="preserve">tutuklu olarak geçirdiği günlerin mahsup edilmesine karar vermiştir. Bu kararın sonucu olarak başvurucu, şartlı tahliyeye hak kazanmıştır. Buna karşın, bir gün sonra ve Ankara Ağır Ceza Mahkemesi önünde bekleyen ceza yargılamasına rağmen, Ankara Cumhuriyet Başsavcılığı, Ankara Sulh Ceza </w:t>
      </w:r>
      <w:proofErr w:type="spellStart"/>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liği’ne</w:t>
      </w:r>
      <w:proofErr w:type="spellEnd"/>
      <w:r w:rsidRPr="00FD32FF">
        <w:rPr>
          <w:rFonts w:ascii="Times New Roman" w:eastAsia="Times New Roman" w:hAnsi="Times New Roman" w:cs="Times New Roman"/>
          <w:sz w:val="24"/>
          <w:szCs w:val="24"/>
          <w:lang w:eastAsia="tr-TR"/>
        </w:rPr>
        <w:t xml:space="preserve"> başvurarak başvurucunun ve diğer eş genel başkanın 2014 yılında 6-8 Ekim 2014 olaylarıyla ilgili başlatılan ayrı bir soruşturma kapsamında ikinci kez tutuklanmasını talep etmiştir. Ayrıca, 20 Eylül 2019 tarihinde Ankara Sulh Ceza </w:t>
      </w:r>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 xml:space="preserve">liği, savcılığın talebini kabul ederek, başvurucuyu ve </w:t>
      </w:r>
      <w:proofErr w:type="spellStart"/>
      <w:r w:rsidRPr="00FD32FF">
        <w:rPr>
          <w:rFonts w:ascii="Times New Roman" w:eastAsia="Times New Roman" w:hAnsi="Times New Roman" w:cs="Times New Roman"/>
          <w:sz w:val="24"/>
          <w:szCs w:val="24"/>
          <w:lang w:eastAsia="tr-TR"/>
        </w:rPr>
        <w:t>HDP’nin</w:t>
      </w:r>
      <w:proofErr w:type="spellEnd"/>
      <w:r w:rsidRPr="00FD32FF">
        <w:rPr>
          <w:rFonts w:ascii="Times New Roman" w:eastAsia="Times New Roman" w:hAnsi="Times New Roman" w:cs="Times New Roman"/>
          <w:sz w:val="24"/>
          <w:szCs w:val="24"/>
          <w:lang w:eastAsia="tr-TR"/>
        </w:rPr>
        <w:t xml:space="preserve"> diğer eski eş genel başkanını tutuklamıştır. Bir gün sonra Cumhurbaşkanı basına </w:t>
      </w:r>
      <w:proofErr w:type="spellStart"/>
      <w:r w:rsidRPr="00FD32FF">
        <w:rPr>
          <w:rFonts w:ascii="Times New Roman" w:eastAsia="Times New Roman" w:hAnsi="Times New Roman" w:cs="Times New Roman"/>
          <w:sz w:val="24"/>
          <w:szCs w:val="24"/>
          <w:lang w:eastAsia="tr-TR"/>
        </w:rPr>
        <w:t>açıkalama</w:t>
      </w:r>
      <w:proofErr w:type="spellEnd"/>
      <w:r w:rsidRPr="00FD32FF">
        <w:rPr>
          <w:rFonts w:ascii="Times New Roman" w:eastAsia="Times New Roman" w:hAnsi="Times New Roman" w:cs="Times New Roman"/>
          <w:sz w:val="24"/>
          <w:szCs w:val="24"/>
          <w:lang w:eastAsia="tr-TR"/>
        </w:rPr>
        <w:t xml:space="preserve"> yaparak, başvurucuyu 53 insanın “katili” olmakla suçlamıştır. Cumhurbaşkanı ayrıca, süreci takip ettiğini ve iki eş genel bakanı “bırakmayacaklarını” söylemiştir. (bakınız yukarıda 118. paragraf) Her ne kadar İstanbul Ağır Ceza Mahkemesi, 31 Ekim 2019 tarihinde başvurucunun dört yıl sekiz aylık hapis cezasının infazını durdurmuş olsa da, başvurucu bu kez de ikinci kez tutuklanması nedeniyle özgürlüğünden mahrum kalmıştır. </w:t>
      </w:r>
    </w:p>
    <w:p w:rsidR="004738DA" w:rsidRPr="00FD32FF" w:rsidRDefault="004738DA" w:rsidP="004738DA">
      <w:pPr>
        <w:shd w:val="clear" w:color="auto" w:fill="FFFFFF"/>
        <w:spacing w:after="0" w:line="240" w:lineRule="auto"/>
        <w:ind w:firstLine="284"/>
        <w:jc w:val="both"/>
        <w:rPr>
          <w:rFonts w:ascii="Times New Roman" w:eastAsia="Times New Roman" w:hAnsi="Times New Roman" w:cs="Times New Roman"/>
          <w:sz w:val="24"/>
          <w:szCs w:val="24"/>
          <w:lang w:eastAsia="tr-TR"/>
        </w:rPr>
      </w:pPr>
      <w:bookmarkStart w:id="40" w:name="argumentskirkaltifin"/>
      <w:r w:rsidRPr="00FD32FF">
        <w:rPr>
          <w:rFonts w:ascii="Times New Roman" w:eastAsia="Times New Roman" w:hAnsi="Times New Roman" w:cs="Times New Roman"/>
          <w:sz w:val="24"/>
          <w:szCs w:val="24"/>
          <w:lang w:eastAsia="tr-TR"/>
        </w:rPr>
        <w:t>433</w:t>
      </w:r>
      <w:bookmarkEnd w:id="40"/>
      <w:r w:rsidRPr="00FD32FF">
        <w:rPr>
          <w:rFonts w:ascii="Times New Roman" w:eastAsia="Times New Roman" w:hAnsi="Times New Roman" w:cs="Times New Roman"/>
          <w:sz w:val="24"/>
          <w:szCs w:val="24"/>
          <w:lang w:eastAsia="tr-TR"/>
        </w:rPr>
        <w:t xml:space="preserve">. Bu bağlamda, başvurucunun yeniden tutuklanmasının görünür amacı, 6-8 Ekim 2014 tarihli olayların araştırılmasıdır. Ancak, her ne kadar isnat edilen suçlamalar farklı olsa da, söz konusu ceza soruşturmasının olgular kısmı, başvurucunun tutuklu yargılandığı ve hala Ankara Ağır Ceza Mahkemesi’nde görülmekte olan davanın temelini oluşturmaktadır. </w:t>
      </w:r>
      <w:proofErr w:type="gramStart"/>
      <w:r w:rsidRPr="00FD32FF">
        <w:rPr>
          <w:rFonts w:ascii="Times New Roman" w:eastAsia="Times New Roman" w:hAnsi="Times New Roman" w:cs="Times New Roman"/>
          <w:sz w:val="24"/>
          <w:szCs w:val="24"/>
          <w:lang w:eastAsia="tr-TR"/>
        </w:rPr>
        <w:t xml:space="preserve">(bakınız yukarıda 70. paragraf) Bu bakımdan; Ankara Ağır Ceza Mahkemesi’nin 20 Eylül 2019 tarihli kararıyla (bakınız yukarıda 114. paragraf)  başvurucuyu tahliye etmesi ve İstanbul 26. Ağır Ceza Mahkemesi’nin 20 Eylül 2019 tarihli kararıyla (bakınız yukarıda 115. paragraf), başvurucuyu derhal aynı gün içinde tekrar tutuklaması ile Cumhurbaşkanı’nın hemen sonrasında yaptığı açıklamalar (bakınız yukarıda 118. paragraf) arasındaki yakın zamansal bağlantılar dikkate alındığında; Mahkeme, yerel makamların başvurucunun beş yıl önce, 6-8 Ekim 2014 tarihlerinde iddia </w:t>
      </w:r>
      <w:proofErr w:type="spellStart"/>
      <w:r w:rsidRPr="00FD32FF">
        <w:rPr>
          <w:rFonts w:ascii="Times New Roman" w:eastAsia="Times New Roman" w:hAnsi="Times New Roman" w:cs="Times New Roman"/>
          <w:sz w:val="24"/>
          <w:szCs w:val="24"/>
          <w:lang w:eastAsia="tr-TR"/>
        </w:rPr>
        <w:t>edien</w:t>
      </w:r>
      <w:proofErr w:type="spellEnd"/>
      <w:r w:rsidRPr="00FD32FF">
        <w:rPr>
          <w:rFonts w:ascii="Times New Roman" w:eastAsia="Times New Roman" w:hAnsi="Times New Roman" w:cs="Times New Roman"/>
          <w:sz w:val="24"/>
          <w:szCs w:val="24"/>
          <w:lang w:eastAsia="tr-TR"/>
        </w:rPr>
        <w:t xml:space="preserve"> suçları işlediği şüphesiyle ilgileniyor görünmedikleri, onun yerine başvurucuyu cezaevinde tutarak siyasi faaliyetlerde bulunmasını engelledikleri düşüncesindedir. </w:t>
      </w:r>
      <w:proofErr w:type="gramEnd"/>
    </w:p>
    <w:p w:rsidR="004738DA" w:rsidRPr="00FD32FF" w:rsidRDefault="004738DA" w:rsidP="004738DA">
      <w:pPr>
        <w:shd w:val="clear" w:color="auto" w:fill="FFFFFF"/>
        <w:spacing w:after="0" w:line="270" w:lineRule="atLeast"/>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434.  Ek olarak, Venedik Komisyonu’nun Türkiye’deki yargı sisteminin bağımsızlığına ve özellikle </w:t>
      </w:r>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 xml:space="preserve">ler Savcılar Yüksek Kurulu’na ilişkin tespitleri, Mahkeme’nin Sözleşme’nin 18. maddesi altında yapacağı incelemeyi ayrıca ilgilendirmektedir. Anayasa değişikliklerine ilişkin 110. </w:t>
      </w:r>
      <w:r w:rsidRPr="00FD32FF">
        <w:rPr>
          <w:rFonts w:ascii="Times New Roman" w:eastAsia="Times New Roman" w:hAnsi="Times New Roman" w:cs="Times New Roman"/>
          <w:sz w:val="24"/>
          <w:szCs w:val="24"/>
          <w:lang w:eastAsia="tr-TR"/>
        </w:rPr>
        <w:lastRenderedPageBreak/>
        <w:t xml:space="preserve">oturumda kabul edilen 875/2017 numaralı görüşünde (bakınız yukarıda 162. paragraf) Venedik Komisyonu, yeni anayasal sistemde Cumhurbaşkanı’nın Yüksek Kurul’un on üç üyesinin altısını atama yetkisine sahip olduğunu, diğer yedi üyenin ise Millet Meclisi tarafından atanacağını işaret etmektedir. Bu bağlantıyla birlikte Venedik Komisyonu, Yüksek Kurul üyelerinin seçilmesine ilişkin taslak değişikliklerin, anayasa reformunun yürürlüğe girmesinden otuz gün sonra dikkate alınacağını tespit etmiştir. Venedik Komisyonu, Yüksek Kurul’un teklif edilen yeni yapısının “oldukça sorunlu” olduğunu düşündüğünü ifade etmiştir. Yeni anayasal sistemde Cumhurbaşkanı’nın tarafsız bir güç değil, bir siyasi partiye ait olduğu işaret edilmiştir. </w:t>
      </w:r>
      <w:proofErr w:type="gramStart"/>
      <w:r w:rsidRPr="00FD32FF">
        <w:rPr>
          <w:rFonts w:ascii="Times New Roman" w:eastAsia="Times New Roman" w:hAnsi="Times New Roman" w:cs="Times New Roman"/>
          <w:sz w:val="24"/>
          <w:szCs w:val="24"/>
          <w:lang w:eastAsia="tr-TR"/>
        </w:rPr>
        <w:t xml:space="preserve">Dahası, Cumhurbaşkanı’nın partisinin Meclis’te çoğunluğu oluşturduğunu ve bu durumun eş zamanlı seçimlerle pratikte güvence altına alındığını akılda tutarak Venedik Komisyonu, yargı denetimi için kendi kendini yöneten ve atamalara, terfilere, nakillere, disiplin tedbirlerine ve </w:t>
      </w:r>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 xml:space="preserve">lerin ve savcıların görevinin sona erdirilmesine bakan Yüksek Kurul’un üye tertibinin yargı bağımsızlığını çok ciddi şekilde tehlikeye atacağı görüşündedir. </w:t>
      </w:r>
      <w:proofErr w:type="gramEnd"/>
      <w:r w:rsidRPr="00FD32FF">
        <w:rPr>
          <w:rFonts w:ascii="Times New Roman" w:eastAsia="Times New Roman" w:hAnsi="Times New Roman" w:cs="Times New Roman"/>
          <w:sz w:val="24"/>
          <w:szCs w:val="24"/>
          <w:lang w:eastAsia="tr-TR"/>
        </w:rPr>
        <w:t xml:space="preserve">Venedik Komisyonu ayrıca “Yüksek Kurul’un kontrolünü ele geçirmek, özellikle </w:t>
      </w:r>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 xml:space="preserve">lerin ihracının ve nakillerinin bu yaygın bir uygulama haline geldiği bir ülkede </w:t>
      </w:r>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 xml:space="preserve"> ve savcıların kontrolünü de ele geçirmek anlamına gelir.” diye eklemiştir. Başta İnsan Hakları </w:t>
      </w:r>
      <w:proofErr w:type="spellStart"/>
      <w:r w:rsidRPr="00FD32FF">
        <w:rPr>
          <w:rFonts w:ascii="Times New Roman" w:eastAsia="Times New Roman" w:hAnsi="Times New Roman" w:cs="Times New Roman"/>
          <w:sz w:val="24"/>
          <w:szCs w:val="24"/>
          <w:lang w:eastAsia="tr-TR"/>
        </w:rPr>
        <w:t>Komiseri’nin</w:t>
      </w:r>
      <w:proofErr w:type="spellEnd"/>
      <w:r w:rsidRPr="00FD32FF">
        <w:rPr>
          <w:rFonts w:ascii="Times New Roman" w:eastAsia="Times New Roman" w:hAnsi="Times New Roman" w:cs="Times New Roman"/>
          <w:sz w:val="24"/>
          <w:szCs w:val="24"/>
          <w:lang w:eastAsia="tr-TR"/>
        </w:rPr>
        <w:t xml:space="preserve"> yorumları olmak üzere, uluslararası gözlemcilerin raporları ve görüşleri, özellikle yüzlerce </w:t>
      </w:r>
      <w:r w:rsidR="00DA1D16">
        <w:rPr>
          <w:rFonts w:ascii="Times New Roman" w:eastAsia="Times New Roman" w:hAnsi="Times New Roman" w:cs="Times New Roman"/>
          <w:sz w:val="24"/>
          <w:szCs w:val="24"/>
          <w:lang w:eastAsia="tr-TR"/>
        </w:rPr>
        <w:t>hâkim</w:t>
      </w:r>
      <w:r w:rsidRPr="00FD32FF">
        <w:rPr>
          <w:rFonts w:ascii="Times New Roman" w:eastAsia="Times New Roman" w:hAnsi="Times New Roman" w:cs="Times New Roman"/>
          <w:sz w:val="24"/>
          <w:szCs w:val="24"/>
          <w:lang w:eastAsia="tr-TR"/>
        </w:rPr>
        <w:t xml:space="preserve">in ihraç edildiği olağanüstü hal sırasında ve özellikle muhaliflere yönelik başlatılan ceza yargılamalarıyla bağlantılı olarak, Türkiye’de son yıllarda hüküm süren gergin siyasi iklimin mahkeme kararlarının etki altında kalabileceği bir ortam yarattığını ileri sürmektedir. </w:t>
      </w:r>
    </w:p>
    <w:p w:rsidR="004738DA" w:rsidRPr="00FD32FF" w:rsidRDefault="004738DA" w:rsidP="004738DA">
      <w:pPr>
        <w:shd w:val="clear" w:color="auto" w:fill="FFFFFF"/>
        <w:spacing w:after="0" w:line="270" w:lineRule="atLeast"/>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435.  Hükümet, başvurucunun Kasım 2017 ve Ocak 2018’de aleyhine açılan üç ceza davasında beraat ettiğini belirtmiştir. Hükümet ayrıca Diyarbakır’da bir mahkemenin olağan tutuk incelemelerinin yapılmaması nedeniyle 11 Ocak 2018 tarihinde başvurucuya Ceza Muhakemesi Kanunu’nun 141. maddesi uyarınca tazminat ödemeye karar verdiğini ileri sürmüştür. Son olarak, Kasım 2016’da tutuklanan 15 HDP milletvekilinden yalnızca sekizinin hala tutuklu olduğunu eklemiştir. Mahkeme’nin görüşüne göre Hükümet tarafından öne sürülen olgular, davalı Devlet’teki bütün bir yargı düzeninin sistematik olarak kötüye kullanılmadığını ve yargı yetkililerinin devamlı olarak kötü niyetle davranmadığı ve açıkça </w:t>
      </w:r>
      <w:proofErr w:type="spellStart"/>
      <w:r w:rsidRPr="00FD32FF">
        <w:rPr>
          <w:rFonts w:ascii="Times New Roman" w:eastAsia="Times New Roman" w:hAnsi="Times New Roman" w:cs="Times New Roman"/>
          <w:sz w:val="24"/>
          <w:szCs w:val="24"/>
          <w:lang w:eastAsia="tr-TR"/>
        </w:rPr>
        <w:t>Sözleşme’yi</w:t>
      </w:r>
      <w:proofErr w:type="spellEnd"/>
      <w:r w:rsidRPr="00FD32FF">
        <w:rPr>
          <w:rFonts w:ascii="Times New Roman" w:eastAsia="Times New Roman" w:hAnsi="Times New Roman" w:cs="Times New Roman"/>
          <w:sz w:val="24"/>
          <w:szCs w:val="24"/>
          <w:lang w:eastAsia="tr-TR"/>
        </w:rPr>
        <w:t xml:space="preserve"> umursamayarak bütün muhalif sesleri bastırmadığını ifade edebilir. (bakınız, </w:t>
      </w:r>
      <w:proofErr w:type="spellStart"/>
      <w:r w:rsidRPr="00FD32FF">
        <w:rPr>
          <w:rFonts w:ascii="Times New Roman" w:eastAsia="Times New Roman" w:hAnsi="Times New Roman" w:cs="Times New Roman"/>
          <w:i/>
          <w:iCs/>
          <w:sz w:val="24"/>
          <w:szCs w:val="24"/>
          <w:lang w:eastAsia="tr-TR"/>
        </w:rPr>
        <w:t>mutatis</w:t>
      </w:r>
      <w:proofErr w:type="spellEnd"/>
      <w:r w:rsidRPr="00FD32FF">
        <w:rPr>
          <w:rFonts w:ascii="Times New Roman" w:eastAsia="Times New Roman" w:hAnsi="Times New Roman" w:cs="Times New Roman"/>
          <w:i/>
          <w:iCs/>
          <w:sz w:val="24"/>
          <w:szCs w:val="24"/>
          <w:lang w:eastAsia="tr-TR"/>
        </w:rPr>
        <w:t xml:space="preserve"> </w:t>
      </w:r>
      <w:proofErr w:type="spellStart"/>
      <w:r w:rsidRPr="00FD32FF">
        <w:rPr>
          <w:rFonts w:ascii="Times New Roman" w:eastAsia="Times New Roman" w:hAnsi="Times New Roman" w:cs="Times New Roman"/>
          <w:i/>
          <w:iCs/>
          <w:sz w:val="24"/>
          <w:szCs w:val="24"/>
          <w:lang w:eastAsia="tr-TR"/>
        </w:rPr>
        <w:t>mutandis</w:t>
      </w:r>
      <w:proofErr w:type="spellEnd"/>
      <w:r w:rsidRPr="00FD32FF">
        <w:rPr>
          <w:rFonts w:ascii="Times New Roman" w:eastAsia="Times New Roman" w:hAnsi="Times New Roman" w:cs="Times New Roman"/>
          <w:sz w:val="24"/>
          <w:szCs w:val="24"/>
          <w:lang w:eastAsia="tr-TR"/>
        </w:rPr>
        <w:t>, </w:t>
      </w:r>
      <w:proofErr w:type="spellStart"/>
      <w:r w:rsidRPr="00FD32FF">
        <w:rPr>
          <w:rFonts w:ascii="Times New Roman" w:eastAsia="Times New Roman" w:hAnsi="Times New Roman" w:cs="Times New Roman"/>
          <w:i/>
          <w:iCs/>
          <w:sz w:val="24"/>
          <w:szCs w:val="24"/>
          <w:lang w:eastAsia="tr-TR"/>
        </w:rPr>
        <w:t>Năstase</w:t>
      </w:r>
      <w:proofErr w:type="spellEnd"/>
      <w:r w:rsidRPr="00FD32FF">
        <w:rPr>
          <w:rFonts w:ascii="Times New Roman" w:eastAsia="Times New Roman" w:hAnsi="Times New Roman" w:cs="Times New Roman"/>
          <w:i/>
          <w:iCs/>
          <w:sz w:val="24"/>
          <w:szCs w:val="24"/>
          <w:lang w:eastAsia="tr-TR"/>
        </w:rPr>
        <w:t xml:space="preserve"> v. Romanya </w:t>
      </w:r>
      <w:r w:rsidRPr="00FD32FF">
        <w:rPr>
          <w:rFonts w:ascii="Times New Roman" w:eastAsia="Times New Roman" w:hAnsi="Times New Roman" w:cs="Times New Roman"/>
          <w:sz w:val="24"/>
          <w:szCs w:val="24"/>
          <w:lang w:eastAsia="tr-TR"/>
        </w:rPr>
        <w:t xml:space="preserve">(kek), </w:t>
      </w:r>
      <w:proofErr w:type="spellStart"/>
      <w:r w:rsidRPr="00FD32FF">
        <w:rPr>
          <w:rFonts w:ascii="Times New Roman" w:eastAsia="Times New Roman" w:hAnsi="Times New Roman" w:cs="Times New Roman"/>
          <w:sz w:val="24"/>
          <w:szCs w:val="24"/>
          <w:lang w:eastAsia="tr-TR"/>
        </w:rPr>
        <w:t>no</w:t>
      </w:r>
      <w:proofErr w:type="spellEnd"/>
      <w:r w:rsidRPr="00FD32FF">
        <w:rPr>
          <w:rFonts w:ascii="Times New Roman" w:eastAsia="Times New Roman" w:hAnsi="Times New Roman" w:cs="Times New Roman"/>
          <w:sz w:val="24"/>
          <w:szCs w:val="24"/>
          <w:lang w:eastAsia="tr-TR"/>
        </w:rPr>
        <w:t>. 80563/12, § 109, 18 Kasım 2014). Bununla birlikte Mahkeme işbu davada, Hükümet tarafından sunulan bu olguların başvurucunun tutukluluğu üzerinde nasıl bir etkisi olduğunu görmekte zorlanmaktadır.</w:t>
      </w:r>
    </w:p>
    <w:p w:rsidR="004738DA" w:rsidRPr="00FD32FF" w:rsidRDefault="004738DA" w:rsidP="004738DA">
      <w:pPr>
        <w:shd w:val="clear" w:color="auto" w:fill="FFFFFF"/>
        <w:spacing w:after="0" w:line="270" w:lineRule="atLeast"/>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 xml:space="preserve">436.  Mevcut davada, arka plandan edinilen uyumlu çıkarımlar, yargı yetkililerinin, bir muhalefet lideri olarak başvurucunun davranışlarına, mecliste veya seçilmiş belediye başkanı olan diğer HDP üyelerinin </w:t>
      </w:r>
      <w:r w:rsidRPr="00FD32FF">
        <w:rPr>
          <w:rFonts w:ascii="Times New Roman" w:eastAsia="Times New Roman" w:hAnsi="Times New Roman" w:cs="Times New Roman"/>
          <w:sz w:val="24"/>
          <w:szCs w:val="24"/>
          <w:lang w:eastAsia="tr-TR"/>
        </w:rPr>
        <w:lastRenderedPageBreak/>
        <w:t xml:space="preserve">davranışlarına ve daha genel olarak muhalif seslere karşı sert tepkilerde bulunduğunu desteklemektedir. Başvurucunun tutuklanması ve tutukluluk halinin devam ettirilmesi, yalnızca ona oy veren binlerce seçmenin Millet Meclisi’nde temsil edilmesini engellememiş, ama aynı zamanda tüm topluma, özgür demokratik tartışmanın kapsamını daraltan tehlikeli bir mesaj verilmiştir. Bu unsurlar, yetkililerin başvurucuyu tutuklarken gösterdiği sebeplerin yalnızca baskın siyasi amaçlar için bir kılıf olduğu, esas amacın tartışmaya yer bırakmayacak şekilde demokrasinin aşağı çekilmesine ilişkin bir konu olduğu sonucuna varması için yeterlidir. (bakınız </w:t>
      </w:r>
      <w:proofErr w:type="spellStart"/>
      <w:r w:rsidRPr="00FD32FF">
        <w:rPr>
          <w:rFonts w:ascii="Times New Roman" w:eastAsia="Times New Roman" w:hAnsi="Times New Roman" w:cs="Times New Roman"/>
          <w:i/>
          <w:iCs/>
          <w:sz w:val="24"/>
          <w:szCs w:val="24"/>
          <w:lang w:eastAsia="tr-TR"/>
        </w:rPr>
        <w:t>Cebotari</w:t>
      </w:r>
      <w:proofErr w:type="spellEnd"/>
      <w:r w:rsidRPr="00FD32FF">
        <w:rPr>
          <w:rFonts w:ascii="Times New Roman" w:eastAsia="Times New Roman" w:hAnsi="Times New Roman" w:cs="Times New Roman"/>
          <w:i/>
          <w:iCs/>
          <w:sz w:val="24"/>
          <w:szCs w:val="24"/>
          <w:lang w:eastAsia="tr-TR"/>
        </w:rPr>
        <w:t xml:space="preserve"> v. Moldova</w:t>
      </w:r>
      <w:r w:rsidRPr="00FD32FF">
        <w:rPr>
          <w:rFonts w:ascii="Times New Roman" w:eastAsia="Times New Roman" w:hAnsi="Times New Roman" w:cs="Times New Roman"/>
          <w:sz w:val="24"/>
          <w:szCs w:val="24"/>
          <w:lang w:eastAsia="tr-TR"/>
        </w:rPr>
        <w:t xml:space="preserve">, </w:t>
      </w:r>
      <w:proofErr w:type="spellStart"/>
      <w:r w:rsidRPr="00FD32FF">
        <w:rPr>
          <w:rFonts w:ascii="Times New Roman" w:eastAsia="Times New Roman" w:hAnsi="Times New Roman" w:cs="Times New Roman"/>
          <w:sz w:val="24"/>
          <w:szCs w:val="24"/>
          <w:lang w:eastAsia="tr-TR"/>
        </w:rPr>
        <w:t>no</w:t>
      </w:r>
      <w:proofErr w:type="spellEnd"/>
      <w:r w:rsidRPr="00FD32FF">
        <w:rPr>
          <w:rFonts w:ascii="Times New Roman" w:eastAsia="Times New Roman" w:hAnsi="Times New Roman" w:cs="Times New Roman"/>
          <w:sz w:val="24"/>
          <w:szCs w:val="24"/>
          <w:lang w:eastAsia="tr-TR"/>
        </w:rPr>
        <w:t>. 35615/06, §§ 52-53, 13 Kasım 2007; </w:t>
      </w:r>
      <w:r w:rsidRPr="00FD32FF">
        <w:rPr>
          <w:rFonts w:ascii="Times New Roman" w:eastAsia="Times New Roman" w:hAnsi="Times New Roman" w:cs="Times New Roman"/>
          <w:i/>
          <w:iCs/>
          <w:sz w:val="24"/>
          <w:szCs w:val="24"/>
          <w:lang w:eastAsia="tr-TR"/>
        </w:rPr>
        <w:t xml:space="preserve">Ilgar </w:t>
      </w:r>
      <w:proofErr w:type="spellStart"/>
      <w:r w:rsidRPr="00FD32FF">
        <w:rPr>
          <w:rFonts w:ascii="Times New Roman" w:eastAsia="Times New Roman" w:hAnsi="Times New Roman" w:cs="Times New Roman"/>
          <w:i/>
          <w:iCs/>
          <w:sz w:val="24"/>
          <w:szCs w:val="24"/>
          <w:lang w:eastAsia="tr-TR"/>
        </w:rPr>
        <w:t>Mammadov</w:t>
      </w:r>
      <w:proofErr w:type="spellEnd"/>
      <w:r w:rsidRPr="00FD32FF">
        <w:rPr>
          <w:rFonts w:ascii="Times New Roman" w:eastAsia="Times New Roman" w:hAnsi="Times New Roman" w:cs="Times New Roman"/>
          <w:sz w:val="24"/>
          <w:szCs w:val="24"/>
          <w:lang w:eastAsia="tr-TR"/>
        </w:rPr>
        <w:t>, yukarıda anılan, § 143; </w:t>
      </w:r>
      <w:proofErr w:type="spellStart"/>
      <w:r w:rsidRPr="00FD32FF">
        <w:rPr>
          <w:rFonts w:ascii="Times New Roman" w:eastAsia="Times New Roman" w:hAnsi="Times New Roman" w:cs="Times New Roman"/>
          <w:i/>
          <w:iCs/>
          <w:sz w:val="24"/>
          <w:szCs w:val="24"/>
          <w:lang w:eastAsia="tr-TR"/>
        </w:rPr>
        <w:t>Rasul</w:t>
      </w:r>
      <w:proofErr w:type="spellEnd"/>
      <w:r w:rsidRPr="00FD32FF">
        <w:rPr>
          <w:rFonts w:ascii="Times New Roman" w:eastAsia="Times New Roman" w:hAnsi="Times New Roman" w:cs="Times New Roman"/>
          <w:i/>
          <w:iCs/>
          <w:sz w:val="24"/>
          <w:szCs w:val="24"/>
          <w:lang w:eastAsia="tr-TR"/>
        </w:rPr>
        <w:t xml:space="preserve"> </w:t>
      </w:r>
      <w:proofErr w:type="spellStart"/>
      <w:r w:rsidRPr="00FD32FF">
        <w:rPr>
          <w:rFonts w:ascii="Times New Roman" w:eastAsia="Times New Roman" w:hAnsi="Times New Roman" w:cs="Times New Roman"/>
          <w:i/>
          <w:iCs/>
          <w:sz w:val="24"/>
          <w:szCs w:val="24"/>
          <w:lang w:eastAsia="tr-TR"/>
        </w:rPr>
        <w:t>Jafarov</w:t>
      </w:r>
      <w:proofErr w:type="spellEnd"/>
      <w:r w:rsidRPr="00FD32FF">
        <w:rPr>
          <w:rFonts w:ascii="Times New Roman" w:eastAsia="Times New Roman" w:hAnsi="Times New Roman" w:cs="Times New Roman"/>
          <w:i/>
          <w:iCs/>
          <w:sz w:val="24"/>
          <w:szCs w:val="24"/>
          <w:lang w:eastAsia="tr-TR"/>
        </w:rPr>
        <w:t xml:space="preserve"> v. Azerbaycan</w:t>
      </w:r>
      <w:r w:rsidRPr="00FD32FF">
        <w:rPr>
          <w:rFonts w:ascii="Times New Roman" w:eastAsia="Times New Roman" w:hAnsi="Times New Roman" w:cs="Times New Roman"/>
          <w:sz w:val="24"/>
          <w:szCs w:val="24"/>
          <w:lang w:eastAsia="tr-TR"/>
        </w:rPr>
        <w:t xml:space="preserve">, </w:t>
      </w:r>
      <w:proofErr w:type="spellStart"/>
      <w:r w:rsidRPr="00FD32FF">
        <w:rPr>
          <w:rFonts w:ascii="Times New Roman" w:eastAsia="Times New Roman" w:hAnsi="Times New Roman" w:cs="Times New Roman"/>
          <w:sz w:val="24"/>
          <w:szCs w:val="24"/>
          <w:lang w:eastAsia="tr-TR"/>
        </w:rPr>
        <w:t>no</w:t>
      </w:r>
      <w:proofErr w:type="spellEnd"/>
      <w:r w:rsidRPr="00FD32FF">
        <w:rPr>
          <w:rFonts w:ascii="Times New Roman" w:eastAsia="Times New Roman" w:hAnsi="Times New Roman" w:cs="Times New Roman"/>
          <w:sz w:val="24"/>
          <w:szCs w:val="24"/>
          <w:lang w:eastAsia="tr-TR"/>
        </w:rPr>
        <w:t>. 69981/14, § 162, 17 Mart </w:t>
      </w:r>
      <w:proofErr w:type="gramStart"/>
      <w:r w:rsidRPr="00FD32FF">
        <w:rPr>
          <w:rFonts w:ascii="Times New Roman" w:eastAsia="Times New Roman" w:hAnsi="Times New Roman" w:cs="Times New Roman"/>
          <w:sz w:val="24"/>
          <w:szCs w:val="24"/>
          <w:lang w:eastAsia="tr-TR"/>
        </w:rPr>
        <w:t>2016;</w:t>
      </w:r>
      <w:proofErr w:type="gramEnd"/>
      <w:r w:rsidRPr="00FD32FF">
        <w:rPr>
          <w:rFonts w:ascii="Times New Roman" w:eastAsia="Times New Roman" w:hAnsi="Times New Roman" w:cs="Times New Roman"/>
          <w:sz w:val="24"/>
          <w:szCs w:val="24"/>
          <w:lang w:eastAsia="tr-TR"/>
        </w:rPr>
        <w:t xml:space="preserve"> ve </w:t>
      </w:r>
      <w:proofErr w:type="spellStart"/>
      <w:r w:rsidRPr="00FD32FF">
        <w:rPr>
          <w:rFonts w:ascii="Times New Roman" w:eastAsia="Times New Roman" w:hAnsi="Times New Roman" w:cs="Times New Roman"/>
          <w:i/>
          <w:iCs/>
          <w:sz w:val="24"/>
          <w:szCs w:val="24"/>
          <w:lang w:eastAsia="tr-TR"/>
        </w:rPr>
        <w:t>Mammadli</w:t>
      </w:r>
      <w:proofErr w:type="spellEnd"/>
      <w:r w:rsidRPr="00FD32FF">
        <w:rPr>
          <w:rFonts w:ascii="Times New Roman" w:eastAsia="Times New Roman" w:hAnsi="Times New Roman" w:cs="Times New Roman"/>
          <w:sz w:val="24"/>
          <w:szCs w:val="24"/>
          <w:lang w:eastAsia="tr-TR"/>
        </w:rPr>
        <w:t>, yukarıda anılan, § 104).</w:t>
      </w:r>
    </w:p>
    <w:p w:rsidR="004738DA" w:rsidRPr="00FD32FF" w:rsidRDefault="004738DA" w:rsidP="004738DA">
      <w:pPr>
        <w:shd w:val="clear" w:color="auto" w:fill="FFFFFF"/>
        <w:spacing w:after="0" w:line="270" w:lineRule="atLeast"/>
        <w:ind w:firstLine="284"/>
        <w:jc w:val="both"/>
        <w:rPr>
          <w:rFonts w:ascii="Times New Roman" w:eastAsia="Times New Roman" w:hAnsi="Times New Roman" w:cs="Times New Roman"/>
          <w:sz w:val="24"/>
          <w:szCs w:val="24"/>
          <w:lang w:eastAsia="tr-TR"/>
        </w:rPr>
      </w:pPr>
      <w:r w:rsidRPr="00FD32FF">
        <w:rPr>
          <w:rFonts w:ascii="Times New Roman" w:eastAsia="Times New Roman" w:hAnsi="Times New Roman" w:cs="Times New Roman"/>
          <w:sz w:val="24"/>
          <w:szCs w:val="24"/>
          <w:lang w:eastAsia="tr-TR"/>
        </w:rPr>
        <w:t>437.  Bu bilgiler doğrultusunda Mahkeme, özellikle referandum ve cumhurbaşkanlığı seçimine ilişkin iki kritik seçim kampanyası sırasında başvurucunun tutuklu olmasının, çoğulculuğu bastırma ve demokratik toplum kavramının özünde yer alan siyasi tartışma özgürlüğünü sınırlama yönünde ağır basan bir amaç izlediğinin, her türlü makul şüphenin ötesinde tespit edildiği kanaatindedir.</w:t>
      </w:r>
    </w:p>
    <w:p w:rsidR="004738DA" w:rsidRPr="00FD32FF" w:rsidRDefault="004738DA" w:rsidP="004738DA">
      <w:pPr>
        <w:shd w:val="clear" w:color="auto" w:fill="FFFFFF"/>
        <w:spacing w:after="0" w:line="270" w:lineRule="atLeast"/>
        <w:ind w:firstLine="284"/>
        <w:jc w:val="both"/>
        <w:rPr>
          <w:rFonts w:ascii="Times New Roman" w:eastAsia="Times New Roman" w:hAnsi="Times New Roman" w:cs="Times New Roman"/>
          <w:sz w:val="17"/>
          <w:szCs w:val="17"/>
          <w:lang w:eastAsia="tr-TR"/>
        </w:rPr>
      </w:pPr>
      <w:bookmarkStart w:id="41" w:name="m_-6662942350944854253_dixhuitviolationf"/>
      <w:r w:rsidRPr="00FD32FF">
        <w:rPr>
          <w:rFonts w:ascii="Times New Roman" w:eastAsia="Times New Roman" w:hAnsi="Times New Roman" w:cs="Times New Roman"/>
          <w:sz w:val="24"/>
          <w:szCs w:val="24"/>
          <w:lang w:eastAsia="tr-TR"/>
        </w:rPr>
        <w:t>438</w:t>
      </w:r>
      <w:bookmarkEnd w:id="41"/>
      <w:r w:rsidRPr="00FD32FF">
        <w:rPr>
          <w:rFonts w:ascii="Times New Roman" w:eastAsia="Times New Roman" w:hAnsi="Times New Roman" w:cs="Times New Roman"/>
          <w:sz w:val="24"/>
          <w:szCs w:val="24"/>
          <w:lang w:eastAsia="tr-TR"/>
        </w:rPr>
        <w:t xml:space="preserve">.  Bu sebeple Mahkeme, Sözleşme’nin 5. maddesiyle bağlantılı olarak 18. maddenin ihlal edildiğine karar vermiştir. </w:t>
      </w:r>
    </w:p>
    <w:p w:rsidR="00193356" w:rsidRPr="003D5488" w:rsidRDefault="00193356" w:rsidP="0060280C">
      <w:pPr>
        <w:spacing w:line="276" w:lineRule="auto"/>
        <w:jc w:val="both"/>
        <w:rPr>
          <w:rFonts w:ascii="Times New Roman" w:hAnsi="Times New Roman" w:cs="Times New Roman"/>
          <w:sz w:val="24"/>
          <w:szCs w:val="24"/>
        </w:rPr>
      </w:pPr>
    </w:p>
    <w:p w:rsidR="00CF3555" w:rsidRPr="00A92996" w:rsidRDefault="00233C53" w:rsidP="00A92996">
      <w:pPr>
        <w:pStyle w:val="Balk1"/>
      </w:pPr>
      <w:r w:rsidRPr="00A92996">
        <w:rPr>
          <w:shd w:val="clear" w:color="auto" w:fill="FFFFFF"/>
        </w:rPr>
        <w:t xml:space="preserve">sÖZLEŞME’NİN 41. VE 46. MADDELERİNİN UYGULANMASI </w:t>
      </w:r>
    </w:p>
    <w:p w:rsidR="00EF799C" w:rsidRPr="00A92996" w:rsidRDefault="00EF799C" w:rsidP="00724F6F">
      <w:pPr>
        <w:pStyle w:val="ListeParagraf"/>
        <w:numPr>
          <w:ilvl w:val="0"/>
          <w:numId w:val="25"/>
        </w:numPr>
        <w:shd w:val="clear" w:color="auto" w:fill="FFFFFF"/>
        <w:tabs>
          <w:tab w:val="left" w:pos="1080"/>
        </w:tabs>
        <w:spacing w:before="100" w:after="240" w:line="276" w:lineRule="auto"/>
        <w:ind w:hanging="90"/>
        <w:jc w:val="both"/>
        <w:rPr>
          <w:rFonts w:ascii="Times New Roman" w:eastAsia="Times New Roman" w:hAnsi="Times New Roman" w:cs="Times New Roman"/>
          <w:b/>
          <w:bCs/>
          <w:sz w:val="24"/>
          <w:szCs w:val="24"/>
          <w:lang w:eastAsia="tr-TR"/>
        </w:rPr>
      </w:pPr>
      <w:r w:rsidRPr="00A92996">
        <w:rPr>
          <w:rFonts w:ascii="Times New Roman" w:eastAsia="Times New Roman" w:hAnsi="Times New Roman" w:cs="Times New Roman"/>
          <w:b/>
          <w:bCs/>
          <w:sz w:val="24"/>
          <w:szCs w:val="24"/>
          <w:lang w:eastAsia="tr-TR"/>
        </w:rPr>
        <w:t>Sözleşme’nin 46. maddesi</w:t>
      </w:r>
    </w:p>
    <w:p w:rsidR="00EF799C" w:rsidRDefault="00EF799C" w:rsidP="00B00E66">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439.  Başvurucu, Mahkeme’den serbest bırakılması talebinde bulunmuştur. Sözleşme’nin 46. maddesinin ilgili kısımları şu şekildedir:</w:t>
      </w:r>
    </w:p>
    <w:p w:rsidR="00B00E66" w:rsidRPr="003D5488" w:rsidRDefault="00B00E66" w:rsidP="00B00E66">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EF799C" w:rsidRPr="00B00E66" w:rsidRDefault="00EF799C" w:rsidP="00EF799C">
      <w:pPr>
        <w:shd w:val="clear" w:color="auto" w:fill="FFFFFF"/>
        <w:tabs>
          <w:tab w:val="left" w:pos="90"/>
        </w:tabs>
        <w:spacing w:after="0" w:line="276" w:lineRule="auto"/>
        <w:ind w:left="360" w:firstLine="284"/>
        <w:jc w:val="both"/>
        <w:rPr>
          <w:rFonts w:ascii="Times New Roman" w:eastAsia="Times New Roman" w:hAnsi="Times New Roman" w:cs="Times New Roman"/>
          <w:szCs w:val="24"/>
          <w:lang w:eastAsia="tr-TR"/>
        </w:rPr>
      </w:pPr>
      <w:r w:rsidRPr="00B00E66">
        <w:rPr>
          <w:rFonts w:ascii="Times New Roman" w:eastAsia="Times New Roman" w:hAnsi="Times New Roman" w:cs="Times New Roman"/>
          <w:szCs w:val="24"/>
          <w:lang w:eastAsia="tr-TR"/>
        </w:rPr>
        <w:t xml:space="preserve">“1. Yüksek Sözleşmeci Taraflar, taraf oldukları davalarda Mahkeme’nin verdiği kesinleşmiş kararlara uymayı taahhüt ederler. </w:t>
      </w:r>
    </w:p>
    <w:p w:rsidR="00EF799C" w:rsidRPr="00B00E66" w:rsidRDefault="00EF799C" w:rsidP="00EF799C">
      <w:pPr>
        <w:shd w:val="clear" w:color="auto" w:fill="FFFFFF"/>
        <w:tabs>
          <w:tab w:val="left" w:pos="90"/>
        </w:tabs>
        <w:spacing w:after="0" w:line="276" w:lineRule="auto"/>
        <w:ind w:left="360" w:firstLine="284"/>
        <w:jc w:val="both"/>
        <w:rPr>
          <w:rFonts w:ascii="Times New Roman" w:eastAsia="Times New Roman" w:hAnsi="Times New Roman" w:cs="Times New Roman"/>
          <w:szCs w:val="24"/>
          <w:lang w:eastAsia="tr-TR"/>
        </w:rPr>
      </w:pPr>
      <w:r w:rsidRPr="00B00E66">
        <w:rPr>
          <w:rFonts w:ascii="Times New Roman" w:eastAsia="Times New Roman" w:hAnsi="Times New Roman" w:cs="Times New Roman"/>
          <w:szCs w:val="24"/>
          <w:lang w:eastAsia="tr-TR"/>
        </w:rPr>
        <w:t>2. Mahkeme’nin kesinleşen kararı, infazını denetleyecek olan Bakanlar Komitesi’ne gönderilir</w:t>
      </w:r>
    </w:p>
    <w:p w:rsidR="00EF799C" w:rsidRDefault="00EF799C" w:rsidP="00EF799C">
      <w:pPr>
        <w:shd w:val="clear" w:color="auto" w:fill="FFFFFF"/>
        <w:tabs>
          <w:tab w:val="left" w:pos="90"/>
        </w:tabs>
        <w:spacing w:after="0" w:line="276" w:lineRule="auto"/>
        <w:ind w:left="360" w:firstLine="284"/>
        <w:jc w:val="both"/>
        <w:rPr>
          <w:rFonts w:ascii="Times New Roman" w:eastAsia="Times New Roman" w:hAnsi="Times New Roman" w:cs="Times New Roman"/>
          <w:szCs w:val="24"/>
          <w:lang w:eastAsia="tr-TR"/>
        </w:rPr>
      </w:pPr>
      <w:r w:rsidRPr="00B00E66">
        <w:rPr>
          <w:rFonts w:ascii="Times New Roman" w:eastAsia="Times New Roman" w:hAnsi="Times New Roman" w:cs="Times New Roman"/>
          <w:szCs w:val="24"/>
          <w:lang w:eastAsia="tr-TR"/>
        </w:rPr>
        <w:t>…”</w:t>
      </w:r>
    </w:p>
    <w:p w:rsidR="00B00E66" w:rsidRPr="00B00E66" w:rsidRDefault="00B00E66" w:rsidP="00EF799C">
      <w:pPr>
        <w:shd w:val="clear" w:color="auto" w:fill="FFFFFF"/>
        <w:tabs>
          <w:tab w:val="left" w:pos="90"/>
        </w:tabs>
        <w:spacing w:after="0" w:line="276" w:lineRule="auto"/>
        <w:ind w:left="360" w:firstLine="284"/>
        <w:jc w:val="both"/>
        <w:rPr>
          <w:rFonts w:ascii="Times New Roman" w:eastAsia="Times New Roman" w:hAnsi="Times New Roman" w:cs="Times New Roman"/>
          <w:szCs w:val="24"/>
          <w:lang w:eastAsia="tr-TR"/>
        </w:rPr>
      </w:pPr>
    </w:p>
    <w:p w:rsidR="00EF799C" w:rsidRPr="003D5488" w:rsidRDefault="00EF799C" w:rsidP="00EF799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440.  Mahkeme, başvurucunun 20 Eylül 2019 tarihinde yeniden tutuklanmasına ilişkin gelişmelere atıfta bulunmuştur (bakınız yukarıda 114-118 arası paragraflar). Bu bağlantıyla birlikte, çeşitli olgusal unsurlar ışığında ve bu unsurların yakın zamansal ve maddi bağlantıları bir bütün olarak alındığında, başvurucunun ilk ve devam eden tutukluluğuyla ilişkili yetkililerin, esasen başvurucunun 2014’te işlediği iddia edilen suçun </w:t>
      </w:r>
      <w:r w:rsidRPr="003D5488">
        <w:rPr>
          <w:rFonts w:ascii="Times New Roman" w:eastAsia="Times New Roman" w:hAnsi="Times New Roman" w:cs="Times New Roman"/>
          <w:sz w:val="24"/>
          <w:szCs w:val="24"/>
          <w:lang w:eastAsia="tr-TR"/>
        </w:rPr>
        <w:lastRenderedPageBreak/>
        <w:t xml:space="preserve">soruşturulmasıyla ilgilenmediği Mahkeme tarafından </w:t>
      </w:r>
      <w:proofErr w:type="gramStart"/>
      <w:r w:rsidRPr="003D5488">
        <w:rPr>
          <w:rFonts w:ascii="Times New Roman" w:eastAsia="Times New Roman" w:hAnsi="Times New Roman" w:cs="Times New Roman"/>
          <w:sz w:val="24"/>
          <w:szCs w:val="24"/>
          <w:lang w:eastAsia="tr-TR"/>
        </w:rPr>
        <w:t>halihazırda</w:t>
      </w:r>
      <w:proofErr w:type="gramEnd"/>
      <w:r w:rsidRPr="003D5488">
        <w:rPr>
          <w:rFonts w:ascii="Times New Roman" w:eastAsia="Times New Roman" w:hAnsi="Times New Roman" w:cs="Times New Roman"/>
          <w:sz w:val="24"/>
          <w:szCs w:val="24"/>
          <w:lang w:eastAsia="tr-TR"/>
        </w:rPr>
        <w:t xml:space="preserve"> tespit edilmiştir (bakınız yukarıda 426-433 arası paragraflar). Mahkeme’nin görüşüne göre yargı yetkililerinin nihai amacı, Ankara Ağır Ceza Mahkemesi’nin başvurucunun serbest bırakılması kararına rağmen, başvurucuyu özgürlüğünden yoksun bırakmaktır (bakınız yukarıda 93. paragraf). Hükümet, başvurucunun 20 Eylül 2019 tarihinde tutuklanmasının (yukarıda 116 ve 117. paragraflarda özetlenmiştir) işbu başvurunun konusundan farklı olduğunu, nitekim ikinci tutukluluğun yalnızca 6-8 Ekim 2014 olaylarıyla ilgili olmadığını, ayrıca diğer çeşitli soruşturma raporlarındaki “eylem ve olayları” da içerdiğini (bakınız yukarıda 415. paragraf) öne sürmüştür. Ek olarak, Hükümet’in kendisine göre 20 Eylül 2019 tarihli tutukluluk kararı, her ne kadar başvurucunun ilk tutukluluğuna temel oluşturan isnatlardan daha dar kapsamlı kavramlarla çerçevelenmiş de olsa, ayrıca 6-8 Ekim 2014 tarihleri arasında yaşanan olaylarla da ilişkilidir. Bununla birlikte, tutukluluğu haklı çıkarmak için daha önce yetersiz görülen olgularla bağlantılı olarak yeni bir soruşturma başlatılması, hukuki sınıflandırma aracılığıyla, yetkililere özgürlük hakkının çevresinden dolaşma </w:t>
      </w:r>
      <w:r w:rsidR="00DA1D16">
        <w:rPr>
          <w:rFonts w:ascii="Times New Roman" w:eastAsia="Times New Roman" w:hAnsi="Times New Roman" w:cs="Times New Roman"/>
          <w:sz w:val="24"/>
          <w:szCs w:val="24"/>
          <w:lang w:eastAsia="tr-TR"/>
        </w:rPr>
        <w:t>imkân</w:t>
      </w:r>
      <w:r w:rsidRPr="003D5488">
        <w:rPr>
          <w:rFonts w:ascii="Times New Roman" w:eastAsia="Times New Roman" w:hAnsi="Times New Roman" w:cs="Times New Roman"/>
          <w:sz w:val="24"/>
          <w:szCs w:val="24"/>
          <w:lang w:eastAsia="tr-TR"/>
        </w:rPr>
        <w:t>ı vermektedir.</w:t>
      </w:r>
    </w:p>
    <w:p w:rsidR="00EF799C" w:rsidRPr="003D5488" w:rsidRDefault="00EF799C" w:rsidP="00EF799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441. Mahkeme bu sebeplerle işbu davada, başvurucunun 6-8 Ekim 2014 </w:t>
      </w:r>
      <w:proofErr w:type="gramStart"/>
      <w:r w:rsidRPr="003D5488">
        <w:rPr>
          <w:rFonts w:ascii="Times New Roman" w:eastAsia="Times New Roman" w:hAnsi="Times New Roman" w:cs="Times New Roman"/>
          <w:sz w:val="24"/>
          <w:szCs w:val="24"/>
          <w:lang w:eastAsia="tr-TR"/>
        </w:rPr>
        <w:t>aralığına</w:t>
      </w:r>
      <w:proofErr w:type="gramEnd"/>
      <w:r w:rsidRPr="003D5488">
        <w:rPr>
          <w:rFonts w:ascii="Times New Roman" w:eastAsia="Times New Roman" w:hAnsi="Times New Roman" w:cs="Times New Roman"/>
          <w:sz w:val="24"/>
          <w:szCs w:val="24"/>
          <w:lang w:eastAsia="tr-TR"/>
        </w:rPr>
        <w:t xml:space="preserve"> ilişkin “eylem ve </w:t>
      </w:r>
      <w:proofErr w:type="spellStart"/>
      <w:r w:rsidRPr="003D5488">
        <w:rPr>
          <w:rFonts w:ascii="Times New Roman" w:eastAsia="Times New Roman" w:hAnsi="Times New Roman" w:cs="Times New Roman"/>
          <w:sz w:val="24"/>
          <w:szCs w:val="24"/>
          <w:lang w:eastAsia="tr-TR"/>
        </w:rPr>
        <w:t>olaylar”ın</w:t>
      </w:r>
      <w:proofErr w:type="spellEnd"/>
      <w:r w:rsidRPr="003D5488">
        <w:rPr>
          <w:rFonts w:ascii="Times New Roman" w:eastAsia="Times New Roman" w:hAnsi="Times New Roman" w:cs="Times New Roman"/>
          <w:sz w:val="24"/>
          <w:szCs w:val="24"/>
          <w:lang w:eastAsia="tr-TR"/>
        </w:rPr>
        <w:t xml:space="preserve"> yeni hukuki sınıflandırması temelinde tutuklandığını, bu tutukluluk sebebinin ayrıca işbu başvuruda öne sürülen ve 2 Eylül 2019 tarihinde sona eren </w:t>
      </w:r>
      <w:proofErr w:type="gramStart"/>
      <w:r w:rsidRPr="003D5488">
        <w:rPr>
          <w:rFonts w:ascii="Times New Roman" w:eastAsia="Times New Roman" w:hAnsi="Times New Roman" w:cs="Times New Roman"/>
          <w:sz w:val="24"/>
          <w:szCs w:val="24"/>
          <w:lang w:eastAsia="tr-TR"/>
        </w:rPr>
        <w:t>spesifik</w:t>
      </w:r>
      <w:proofErr w:type="gramEnd"/>
      <w:r w:rsidRPr="003D5488">
        <w:rPr>
          <w:rFonts w:ascii="Times New Roman" w:eastAsia="Times New Roman" w:hAnsi="Times New Roman" w:cs="Times New Roman"/>
          <w:sz w:val="24"/>
          <w:szCs w:val="24"/>
          <w:lang w:eastAsia="tr-TR"/>
        </w:rPr>
        <w:t xml:space="preserve"> özgürlükten yoksun bırakma haline temel oluşturduğunu göz ardı edemez. </w:t>
      </w:r>
      <w:proofErr w:type="gramStart"/>
      <w:r w:rsidRPr="003D5488">
        <w:rPr>
          <w:rFonts w:ascii="Times New Roman" w:eastAsia="Times New Roman" w:hAnsi="Times New Roman" w:cs="Times New Roman"/>
          <w:sz w:val="24"/>
          <w:szCs w:val="24"/>
          <w:lang w:eastAsia="tr-TR"/>
        </w:rPr>
        <w:t xml:space="preserve">5. madde ile bağlantılı olarak 18. maddenin ihlal edildiği tespiti başta olmak üzere, Mahkeme vardığı sonuçlar ışığında kararın davalı Devlet tarafından yerine getirilmesi gerektiğini, bu sürecin Bakanlar Komitesi’nin denetimi altında ilerleyeceğini, başvurucunun durumunun kararın neticeleri ve ruhuyla uyumlu hale getirilmesinin zorunlu olduğunu vurgulamaktadır (bakınız </w:t>
      </w:r>
      <w:r w:rsidRPr="003D5488">
        <w:rPr>
          <w:rFonts w:ascii="Times New Roman" w:eastAsia="Times New Roman" w:hAnsi="Times New Roman" w:cs="Times New Roman"/>
          <w:i/>
          <w:sz w:val="24"/>
          <w:szCs w:val="24"/>
          <w:lang w:eastAsia="tr-TR"/>
        </w:rPr>
        <w:t xml:space="preserve">Ilgar </w:t>
      </w:r>
      <w:proofErr w:type="spellStart"/>
      <w:r w:rsidRPr="003D5488">
        <w:rPr>
          <w:rFonts w:ascii="Times New Roman" w:eastAsia="Times New Roman" w:hAnsi="Times New Roman" w:cs="Times New Roman"/>
          <w:i/>
          <w:sz w:val="24"/>
          <w:szCs w:val="24"/>
          <w:lang w:eastAsia="tr-TR"/>
        </w:rPr>
        <w:t>Mammadov</w:t>
      </w:r>
      <w:proofErr w:type="spellEnd"/>
      <w:r w:rsidRPr="003D5488">
        <w:rPr>
          <w:rFonts w:ascii="Times New Roman" w:eastAsia="Times New Roman" w:hAnsi="Times New Roman" w:cs="Times New Roman"/>
          <w:i/>
          <w:sz w:val="24"/>
          <w:szCs w:val="24"/>
          <w:lang w:eastAsia="tr-TR"/>
        </w:rPr>
        <w:t xml:space="preserve"> v. Azerbaycan </w:t>
      </w:r>
      <w:r w:rsidRPr="003D5488">
        <w:rPr>
          <w:rFonts w:ascii="Times New Roman" w:eastAsia="Times New Roman" w:hAnsi="Times New Roman" w:cs="Times New Roman"/>
          <w:sz w:val="24"/>
          <w:szCs w:val="24"/>
          <w:lang w:eastAsia="tr-TR"/>
        </w:rPr>
        <w:t xml:space="preserve">(ihlal yargılamaları) [BD],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15172/13, § 182, 29 Mayıs 2019).</w:t>
      </w:r>
      <w:proofErr w:type="gramEnd"/>
    </w:p>
    <w:p w:rsidR="00EF799C" w:rsidRPr="003D5488" w:rsidRDefault="00EF799C" w:rsidP="00EF799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 xml:space="preserve">442. İhlalin giderilmesi için alınması gereken tedbirlerin hiçbir seçime yer bırakmaması halinde, Mahkeme takip eden kararlarda olduğu gibi </w:t>
      </w:r>
      <w:proofErr w:type="gramStart"/>
      <w:r w:rsidRPr="003D5488">
        <w:rPr>
          <w:rFonts w:ascii="Times New Roman" w:eastAsia="Times New Roman" w:hAnsi="Times New Roman" w:cs="Times New Roman"/>
          <w:sz w:val="24"/>
          <w:szCs w:val="24"/>
          <w:lang w:eastAsia="tr-TR"/>
        </w:rPr>
        <w:t>spesifik</w:t>
      </w:r>
      <w:proofErr w:type="gramEnd"/>
      <w:r w:rsidRPr="003D5488">
        <w:rPr>
          <w:rFonts w:ascii="Times New Roman" w:eastAsia="Times New Roman" w:hAnsi="Times New Roman" w:cs="Times New Roman"/>
          <w:sz w:val="24"/>
          <w:szCs w:val="24"/>
          <w:lang w:eastAsia="tr-TR"/>
        </w:rPr>
        <w:t xml:space="preserve"> bireysel tedbirlere hükmedebilmektedir: </w:t>
      </w:r>
      <w:proofErr w:type="spellStart"/>
      <w:r w:rsidRPr="003D5488">
        <w:rPr>
          <w:rFonts w:ascii="Times New Roman" w:eastAsia="Times New Roman" w:hAnsi="Times New Roman" w:cs="Times New Roman"/>
          <w:i/>
          <w:iCs/>
          <w:sz w:val="24"/>
          <w:szCs w:val="24"/>
          <w:lang w:eastAsia="tr-TR"/>
        </w:rPr>
        <w:t>Assanidze</w:t>
      </w:r>
      <w:proofErr w:type="spellEnd"/>
      <w:r w:rsidRPr="003D5488">
        <w:rPr>
          <w:rFonts w:ascii="Times New Roman" w:eastAsia="Times New Roman" w:hAnsi="Times New Roman" w:cs="Times New Roman"/>
          <w:sz w:val="24"/>
          <w:szCs w:val="24"/>
          <w:lang w:eastAsia="tr-TR"/>
        </w:rPr>
        <w:t xml:space="preserve"> (yukarıda anılan, §§ 202-03), </w:t>
      </w:r>
      <w:proofErr w:type="spellStart"/>
      <w:r w:rsidRPr="003D5488">
        <w:rPr>
          <w:rFonts w:ascii="Times New Roman" w:eastAsia="Times New Roman" w:hAnsi="Times New Roman" w:cs="Times New Roman"/>
          <w:i/>
          <w:iCs/>
          <w:sz w:val="24"/>
          <w:szCs w:val="24"/>
          <w:lang w:eastAsia="tr-TR"/>
        </w:rPr>
        <w:t>Ilaşcu</w:t>
      </w:r>
      <w:proofErr w:type="spellEnd"/>
      <w:r w:rsidRPr="003D5488">
        <w:rPr>
          <w:rFonts w:ascii="Times New Roman" w:eastAsia="Times New Roman" w:hAnsi="Times New Roman" w:cs="Times New Roman"/>
          <w:i/>
          <w:iCs/>
          <w:sz w:val="24"/>
          <w:szCs w:val="24"/>
          <w:lang w:eastAsia="tr-TR"/>
        </w:rPr>
        <w:t xml:space="preserve"> ve Diğerleri </w:t>
      </w:r>
      <w:r w:rsidRPr="003D5488">
        <w:rPr>
          <w:rFonts w:ascii="Times New Roman" w:eastAsia="Times New Roman" w:hAnsi="Times New Roman" w:cs="Times New Roman"/>
          <w:sz w:val="24"/>
          <w:szCs w:val="24"/>
          <w:lang w:eastAsia="tr-TR"/>
        </w:rPr>
        <w:t xml:space="preserve">(yukarıda anılan, § 490), </w:t>
      </w:r>
      <w:proofErr w:type="spellStart"/>
      <w:r w:rsidRPr="003D5488">
        <w:rPr>
          <w:rFonts w:ascii="Times New Roman" w:eastAsia="Times New Roman" w:hAnsi="Times New Roman" w:cs="Times New Roman"/>
          <w:i/>
          <w:iCs/>
          <w:sz w:val="24"/>
          <w:szCs w:val="24"/>
          <w:lang w:eastAsia="tr-TR"/>
        </w:rPr>
        <w:t>Aleksanyan</w:t>
      </w:r>
      <w:proofErr w:type="spellEnd"/>
      <w:r w:rsidRPr="003D5488">
        <w:rPr>
          <w:rFonts w:ascii="Times New Roman" w:eastAsia="Times New Roman" w:hAnsi="Times New Roman" w:cs="Times New Roman"/>
          <w:sz w:val="24"/>
          <w:szCs w:val="24"/>
          <w:lang w:eastAsia="tr-TR"/>
        </w:rPr>
        <w:t xml:space="preserve"> </w:t>
      </w:r>
      <w:r w:rsidRPr="003D5488">
        <w:rPr>
          <w:rFonts w:ascii="Times New Roman" w:eastAsia="Times New Roman" w:hAnsi="Times New Roman" w:cs="Times New Roman"/>
          <w:i/>
          <w:iCs/>
          <w:sz w:val="24"/>
          <w:szCs w:val="24"/>
          <w:lang w:eastAsia="tr-TR"/>
        </w:rPr>
        <w:t xml:space="preserve">v. Rusya </w:t>
      </w:r>
      <w:r w:rsidRPr="003D5488">
        <w:rPr>
          <w:rFonts w:ascii="Times New Roman" w:eastAsia="Times New Roman" w:hAnsi="Times New Roman" w:cs="Times New Roman"/>
          <w:sz w:val="24"/>
          <w:szCs w:val="24"/>
          <w:lang w:eastAsia="tr-TR"/>
        </w:rPr>
        <w:t>(</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46468/06, §§ 239-40, 22 </w:t>
      </w:r>
      <w:proofErr w:type="spellStart"/>
      <w:r w:rsidRPr="003D5488">
        <w:rPr>
          <w:rFonts w:ascii="Times New Roman" w:eastAsia="Times New Roman" w:hAnsi="Times New Roman" w:cs="Times New Roman"/>
          <w:sz w:val="24"/>
          <w:szCs w:val="24"/>
          <w:lang w:eastAsia="tr-TR"/>
        </w:rPr>
        <w:t>December</w:t>
      </w:r>
      <w:proofErr w:type="spellEnd"/>
      <w:r w:rsidRPr="003D5488">
        <w:rPr>
          <w:rFonts w:ascii="Times New Roman" w:eastAsia="Times New Roman" w:hAnsi="Times New Roman" w:cs="Times New Roman"/>
          <w:sz w:val="24"/>
          <w:szCs w:val="24"/>
          <w:lang w:eastAsia="tr-TR"/>
        </w:rPr>
        <w:t xml:space="preserve"> 2008), </w:t>
      </w:r>
      <w:proofErr w:type="spellStart"/>
      <w:r w:rsidRPr="003D5488">
        <w:rPr>
          <w:rFonts w:ascii="Times New Roman" w:eastAsia="Times New Roman" w:hAnsi="Times New Roman" w:cs="Times New Roman"/>
          <w:i/>
          <w:iCs/>
          <w:sz w:val="24"/>
          <w:szCs w:val="24"/>
          <w:lang w:eastAsia="tr-TR"/>
        </w:rPr>
        <w:t>Fatullayev</w:t>
      </w:r>
      <w:proofErr w:type="spellEnd"/>
      <w:r w:rsidRPr="003D5488">
        <w:rPr>
          <w:rFonts w:ascii="Times New Roman" w:eastAsia="Times New Roman" w:hAnsi="Times New Roman" w:cs="Times New Roman"/>
          <w:i/>
          <w:iCs/>
          <w:sz w:val="24"/>
          <w:szCs w:val="24"/>
          <w:lang w:eastAsia="tr-TR"/>
        </w:rPr>
        <w:t xml:space="preserve"> v.</w:t>
      </w:r>
      <w:r w:rsidRPr="003D5488">
        <w:rPr>
          <w:rFonts w:ascii="Times New Roman" w:eastAsia="Times New Roman" w:hAnsi="Times New Roman" w:cs="Times New Roman"/>
          <w:sz w:val="24"/>
          <w:szCs w:val="24"/>
          <w:lang w:eastAsia="tr-TR"/>
        </w:rPr>
        <w:t xml:space="preserve"> </w:t>
      </w:r>
      <w:r w:rsidRPr="003D5488">
        <w:rPr>
          <w:rFonts w:ascii="Times New Roman" w:eastAsia="Times New Roman" w:hAnsi="Times New Roman" w:cs="Times New Roman"/>
          <w:i/>
          <w:iCs/>
          <w:sz w:val="24"/>
          <w:szCs w:val="24"/>
          <w:lang w:eastAsia="tr-TR"/>
        </w:rPr>
        <w:t xml:space="preserve">Azerbaycan </w:t>
      </w:r>
      <w:r w:rsidRPr="003D5488">
        <w:rPr>
          <w:rFonts w:ascii="Times New Roman" w:eastAsia="Times New Roman" w:hAnsi="Times New Roman" w:cs="Times New Roman"/>
          <w:sz w:val="24"/>
          <w:szCs w:val="24"/>
          <w:lang w:eastAsia="tr-TR"/>
        </w:rPr>
        <w:t>(</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40984/07, §§ 176-77, 22 April 2010), </w:t>
      </w:r>
      <w:r w:rsidRPr="003D5488">
        <w:rPr>
          <w:rFonts w:ascii="Times New Roman" w:eastAsia="Times New Roman" w:hAnsi="Times New Roman" w:cs="Times New Roman"/>
          <w:i/>
          <w:iCs/>
          <w:sz w:val="24"/>
          <w:szCs w:val="24"/>
          <w:lang w:eastAsia="tr-TR"/>
        </w:rPr>
        <w:t xml:space="preserve">Del </w:t>
      </w:r>
      <w:proofErr w:type="spellStart"/>
      <w:r w:rsidRPr="003D5488">
        <w:rPr>
          <w:rFonts w:ascii="Times New Roman" w:eastAsia="Times New Roman" w:hAnsi="Times New Roman" w:cs="Times New Roman"/>
          <w:i/>
          <w:iCs/>
          <w:sz w:val="24"/>
          <w:szCs w:val="24"/>
          <w:lang w:eastAsia="tr-TR"/>
        </w:rPr>
        <w:t>Río</w:t>
      </w:r>
      <w:proofErr w:type="spellEnd"/>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Prada</w:t>
      </w:r>
      <w:proofErr w:type="spellEnd"/>
      <w:r w:rsidRPr="003D5488">
        <w:rPr>
          <w:rFonts w:ascii="Times New Roman" w:eastAsia="Times New Roman" w:hAnsi="Times New Roman" w:cs="Times New Roman"/>
          <w:i/>
          <w:iCs/>
          <w:sz w:val="24"/>
          <w:szCs w:val="24"/>
          <w:lang w:eastAsia="tr-TR"/>
        </w:rPr>
        <w:t xml:space="preserve"> v. İspanya</w:t>
      </w:r>
      <w:r w:rsidRPr="003D5488">
        <w:rPr>
          <w:rFonts w:ascii="Times New Roman" w:eastAsia="Times New Roman" w:hAnsi="Times New Roman" w:cs="Times New Roman"/>
          <w:sz w:val="24"/>
          <w:szCs w:val="24"/>
          <w:lang w:eastAsia="tr-TR"/>
        </w:rPr>
        <w:t xml:space="preserve"> ([BD],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xml:space="preserve">. 42750/09, §§ 138-39, ECHR 2013), </w:t>
      </w:r>
      <w:r w:rsidRPr="003D5488">
        <w:rPr>
          <w:rFonts w:ascii="Times New Roman" w:eastAsia="Times New Roman" w:hAnsi="Times New Roman" w:cs="Times New Roman"/>
          <w:i/>
          <w:iCs/>
          <w:sz w:val="24"/>
          <w:szCs w:val="24"/>
          <w:lang w:eastAsia="tr-TR"/>
        </w:rPr>
        <w:t xml:space="preserve">Şahin Alpay </w:t>
      </w:r>
      <w:r w:rsidRPr="003D5488">
        <w:rPr>
          <w:rFonts w:ascii="Times New Roman" w:eastAsia="Times New Roman" w:hAnsi="Times New Roman" w:cs="Times New Roman"/>
          <w:sz w:val="24"/>
          <w:szCs w:val="24"/>
          <w:lang w:eastAsia="tr-TR"/>
        </w:rPr>
        <w:t xml:space="preserve">(yukarıda anılan, §§ 194-95) ve </w:t>
      </w:r>
      <w:r w:rsidRPr="003D5488">
        <w:rPr>
          <w:rFonts w:ascii="Times New Roman" w:eastAsia="Times New Roman" w:hAnsi="Times New Roman" w:cs="Times New Roman"/>
          <w:i/>
          <w:iCs/>
          <w:sz w:val="24"/>
          <w:szCs w:val="24"/>
          <w:lang w:eastAsia="tr-TR"/>
        </w:rPr>
        <w:t xml:space="preserve">Kavala </w:t>
      </w:r>
      <w:r w:rsidRPr="003D5488">
        <w:rPr>
          <w:rFonts w:ascii="Times New Roman" w:eastAsia="Times New Roman" w:hAnsi="Times New Roman" w:cs="Times New Roman"/>
          <w:sz w:val="24"/>
          <w:szCs w:val="24"/>
          <w:lang w:eastAsia="tr-TR"/>
        </w:rPr>
        <w:t xml:space="preserve">(yukarıda anılan, § 240). İşbu </w:t>
      </w:r>
      <w:r w:rsidRPr="003D5488">
        <w:rPr>
          <w:rFonts w:ascii="Times New Roman" w:eastAsia="Times New Roman" w:hAnsi="Times New Roman" w:cs="Times New Roman"/>
          <w:sz w:val="24"/>
          <w:szCs w:val="24"/>
          <w:lang w:eastAsia="tr-TR"/>
        </w:rPr>
        <w:lastRenderedPageBreak/>
        <w:t xml:space="preserve">başvuruda, başvurucunun aynı olgusal bağlamla ilgili temellerde tutukluluğunun devam ettirilmesi, hem başvurucunun uğradığı hak ihlalini uzatarak sürdürecek, hem de davalı Devlet’in Sözleşme’nin 46. maddesinin 1. fıkrası uyarınca kararlara uyma yükümlülüğünün ihlalini teşkil edecektir. </w:t>
      </w:r>
    </w:p>
    <w:p w:rsidR="00EF799C" w:rsidRPr="003D5488" w:rsidRDefault="00EF799C" w:rsidP="00EF799C">
      <w:pPr>
        <w:shd w:val="clear" w:color="auto" w:fill="FFFFFF"/>
        <w:spacing w:after="0" w:line="276" w:lineRule="auto"/>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Bu doğrultuda, Mahkeme başvurucunun derhal serbest bırakılması için gerekli her tür tedbirin davalı Devlet tarafından alınması gerektiği kanaatindedir.</w:t>
      </w:r>
    </w:p>
    <w:p w:rsidR="00CF3555" w:rsidRPr="00B00E66" w:rsidRDefault="00233C53" w:rsidP="00724F6F">
      <w:pPr>
        <w:pStyle w:val="ListeParagraf"/>
        <w:numPr>
          <w:ilvl w:val="0"/>
          <w:numId w:val="25"/>
        </w:numPr>
        <w:shd w:val="clear" w:color="auto" w:fill="FFFFFF"/>
        <w:spacing w:before="100" w:after="240" w:line="276" w:lineRule="auto"/>
        <w:jc w:val="both"/>
        <w:rPr>
          <w:rFonts w:ascii="Times New Roman" w:eastAsia="Times New Roman" w:hAnsi="Times New Roman" w:cs="Times New Roman"/>
          <w:b/>
          <w:bCs/>
          <w:sz w:val="24"/>
          <w:szCs w:val="24"/>
          <w:lang w:eastAsia="tr-TR"/>
        </w:rPr>
      </w:pPr>
      <w:r w:rsidRPr="00B00E66">
        <w:rPr>
          <w:rFonts w:ascii="Times New Roman" w:eastAsia="Times New Roman" w:hAnsi="Times New Roman" w:cs="Times New Roman"/>
          <w:b/>
          <w:bCs/>
          <w:sz w:val="24"/>
          <w:szCs w:val="24"/>
          <w:lang w:eastAsia="tr-TR"/>
        </w:rPr>
        <w:t xml:space="preserve">Sözleşme’nin 41. maddesi </w:t>
      </w:r>
    </w:p>
    <w:p w:rsidR="00B00E66" w:rsidRDefault="00EF799C" w:rsidP="00B00E66">
      <w:pPr>
        <w:shd w:val="clear" w:color="auto" w:fill="FFFFFF"/>
        <w:spacing w:before="100" w:after="240" w:line="276" w:lineRule="auto"/>
        <w:ind w:left="113"/>
        <w:jc w:val="both"/>
        <w:rPr>
          <w:rFonts w:ascii="Times New Roman" w:eastAsia="Times New Roman" w:hAnsi="Times New Roman" w:cs="Times New Roman"/>
          <w:bCs/>
          <w:sz w:val="24"/>
          <w:szCs w:val="24"/>
          <w:lang w:eastAsia="tr-TR"/>
        </w:rPr>
      </w:pPr>
      <w:r w:rsidRPr="003D5488">
        <w:rPr>
          <w:rFonts w:ascii="Times New Roman" w:eastAsia="Times New Roman" w:hAnsi="Times New Roman" w:cs="Times New Roman"/>
          <w:bCs/>
          <w:sz w:val="24"/>
          <w:szCs w:val="24"/>
          <w:lang w:eastAsia="tr-TR"/>
        </w:rPr>
        <w:t>443.  Sözleşme'nin</w:t>
      </w:r>
      <w:r w:rsidR="00B00E66">
        <w:rPr>
          <w:rFonts w:ascii="Times New Roman" w:eastAsia="Times New Roman" w:hAnsi="Times New Roman" w:cs="Times New Roman"/>
          <w:bCs/>
          <w:sz w:val="24"/>
          <w:szCs w:val="24"/>
          <w:lang w:eastAsia="tr-TR"/>
        </w:rPr>
        <w:t xml:space="preserve"> 41 maddesi aşağıdaki gibidir: </w:t>
      </w:r>
    </w:p>
    <w:p w:rsidR="00EF799C" w:rsidRPr="00B00E66" w:rsidRDefault="00EF799C" w:rsidP="00B00E66">
      <w:pPr>
        <w:shd w:val="clear" w:color="auto" w:fill="FFFFFF"/>
        <w:spacing w:before="100" w:after="240" w:line="276" w:lineRule="auto"/>
        <w:ind w:left="113"/>
        <w:jc w:val="both"/>
        <w:rPr>
          <w:rFonts w:ascii="Times New Roman" w:eastAsia="Times New Roman" w:hAnsi="Times New Roman" w:cs="Times New Roman"/>
          <w:bCs/>
          <w:sz w:val="24"/>
          <w:szCs w:val="24"/>
          <w:lang w:eastAsia="tr-TR"/>
        </w:rPr>
      </w:pPr>
      <w:r w:rsidRPr="00B00E66">
        <w:rPr>
          <w:rFonts w:ascii="Times New Roman" w:eastAsia="Times New Roman" w:hAnsi="Times New Roman" w:cs="Times New Roman"/>
          <w:bCs/>
          <w:szCs w:val="24"/>
          <w:lang w:eastAsia="tr-TR"/>
        </w:rPr>
        <w:t xml:space="preserve">“Eğer Mahkeme, işbu Sözleşme ve Protokollerinin ihlal edildiğine karar verirse ve ilgili Yüksek Sözleşmeci </w:t>
      </w:r>
      <w:proofErr w:type="spellStart"/>
      <w:r w:rsidRPr="00B00E66">
        <w:rPr>
          <w:rFonts w:ascii="Times New Roman" w:eastAsia="Times New Roman" w:hAnsi="Times New Roman" w:cs="Times New Roman"/>
          <w:bCs/>
          <w:szCs w:val="24"/>
          <w:lang w:eastAsia="tr-TR"/>
        </w:rPr>
        <w:t>Taraf’ın</w:t>
      </w:r>
      <w:proofErr w:type="spellEnd"/>
      <w:r w:rsidRPr="00B00E66">
        <w:rPr>
          <w:rFonts w:ascii="Times New Roman" w:eastAsia="Times New Roman" w:hAnsi="Times New Roman" w:cs="Times New Roman"/>
          <w:bCs/>
          <w:szCs w:val="24"/>
          <w:lang w:eastAsia="tr-TR"/>
        </w:rPr>
        <w:t xml:space="preserve"> iç hukuku bu ihlalin sonuçlarını ancak kısmen ortadan kaldırabiliyorsa, Mahkeme, gerektiği takdirde, zarar gören taraf lehine adil bir tazmin verilmesine hükmeder.”  </w:t>
      </w:r>
    </w:p>
    <w:p w:rsidR="00EF799C" w:rsidRPr="003D5488" w:rsidRDefault="00EF799C" w:rsidP="00EF799C">
      <w:pPr>
        <w:shd w:val="clear" w:color="auto" w:fill="FFFFFF"/>
        <w:spacing w:before="100" w:after="240" w:line="276" w:lineRule="auto"/>
        <w:ind w:left="113"/>
        <w:jc w:val="both"/>
        <w:rPr>
          <w:rFonts w:ascii="Times New Roman" w:eastAsia="Times New Roman" w:hAnsi="Times New Roman" w:cs="Times New Roman"/>
          <w:bCs/>
          <w:sz w:val="24"/>
          <w:szCs w:val="24"/>
          <w:lang w:eastAsia="tr-TR"/>
        </w:rPr>
      </w:pPr>
      <w:r w:rsidRPr="003D5488">
        <w:rPr>
          <w:rFonts w:ascii="Times New Roman" w:eastAsia="Times New Roman" w:hAnsi="Times New Roman" w:cs="Times New Roman"/>
          <w:bCs/>
          <w:sz w:val="24"/>
          <w:szCs w:val="24"/>
          <w:lang w:eastAsia="tr-TR"/>
        </w:rPr>
        <w:t>444.  Büyük Daire önünde başvurucu, maddi zararı için 11,350 Euro ve manevi zararı için 250,000 Euro talep etmiştir. Daire, başvurucuya 10,000 Euro manevi tazminat ödenmesine karar vermiştir.</w:t>
      </w:r>
    </w:p>
    <w:p w:rsidR="00233C53"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445.  </w:t>
      </w:r>
      <w:r w:rsidR="00233C53" w:rsidRPr="003D5488">
        <w:rPr>
          <w:rFonts w:ascii="Times New Roman" w:eastAsia="Times New Roman" w:hAnsi="Times New Roman" w:cs="Times New Roman"/>
          <w:sz w:val="24"/>
          <w:szCs w:val="24"/>
          <w:lang w:eastAsia="tr-TR"/>
        </w:rPr>
        <w:t xml:space="preserve">Büyük Daire önünde başvurucu, avukat olduğunu ve tutukluluğu sebebiyle çalışamadığını belirterek, öncelikle, 16,020 Euro </w:t>
      </w:r>
      <w:r w:rsidR="00A72682" w:rsidRPr="003D5488">
        <w:rPr>
          <w:rFonts w:ascii="Times New Roman" w:eastAsia="Times New Roman" w:hAnsi="Times New Roman" w:cs="Times New Roman"/>
          <w:sz w:val="24"/>
          <w:szCs w:val="24"/>
          <w:lang w:eastAsia="tr-TR"/>
        </w:rPr>
        <w:t xml:space="preserve">gelir kaybı olduğunu iddia etmiştir. </w:t>
      </w:r>
      <w:proofErr w:type="gramStart"/>
      <w:r w:rsidR="00A72682" w:rsidRPr="003D5488">
        <w:rPr>
          <w:rFonts w:ascii="Times New Roman" w:eastAsia="Times New Roman" w:hAnsi="Times New Roman" w:cs="Times New Roman"/>
          <w:sz w:val="24"/>
          <w:szCs w:val="24"/>
          <w:lang w:eastAsia="tr-TR"/>
        </w:rPr>
        <w:t>Buna ek olarak başvurucu, eşinin (15,471.47 </w:t>
      </w:r>
      <w:r w:rsidR="00C750FB" w:rsidRPr="003D5488">
        <w:rPr>
          <w:rFonts w:ascii="Times New Roman" w:eastAsia="Times New Roman" w:hAnsi="Times New Roman" w:cs="Times New Roman"/>
          <w:sz w:val="24"/>
          <w:szCs w:val="24"/>
          <w:lang w:eastAsia="tr-TR"/>
        </w:rPr>
        <w:t>TL, yaklaşık 2,350 Euro)</w:t>
      </w:r>
      <w:r w:rsidR="00A72682" w:rsidRPr="003D5488">
        <w:rPr>
          <w:rFonts w:ascii="Times New Roman" w:eastAsia="Times New Roman" w:hAnsi="Times New Roman" w:cs="Times New Roman"/>
          <w:sz w:val="24"/>
          <w:szCs w:val="24"/>
          <w:lang w:eastAsia="tr-TR"/>
        </w:rPr>
        <w:t xml:space="preserve">, iki kızının (4,133.85 </w:t>
      </w:r>
      <w:r w:rsidR="00C750FB" w:rsidRPr="003D5488">
        <w:rPr>
          <w:rFonts w:ascii="Times New Roman" w:eastAsia="Times New Roman" w:hAnsi="Times New Roman" w:cs="Times New Roman"/>
          <w:sz w:val="24"/>
          <w:szCs w:val="24"/>
          <w:lang w:eastAsia="tr-TR"/>
        </w:rPr>
        <w:t xml:space="preserve">ve 3,749.26 TL, yaklaşık olarak sırasıyla </w:t>
      </w:r>
      <w:r w:rsidR="00A72682" w:rsidRPr="003D5488">
        <w:rPr>
          <w:rFonts w:ascii="Times New Roman" w:eastAsia="Times New Roman" w:hAnsi="Times New Roman" w:cs="Times New Roman"/>
          <w:sz w:val="24"/>
          <w:szCs w:val="24"/>
          <w:lang w:eastAsia="tr-TR"/>
        </w:rPr>
        <w:t xml:space="preserve">600 </w:t>
      </w:r>
      <w:r w:rsidR="00C750FB" w:rsidRPr="003D5488">
        <w:rPr>
          <w:rFonts w:ascii="Times New Roman" w:eastAsia="Times New Roman" w:hAnsi="Times New Roman" w:cs="Times New Roman"/>
          <w:sz w:val="24"/>
          <w:szCs w:val="24"/>
          <w:lang w:eastAsia="tr-TR"/>
        </w:rPr>
        <w:t xml:space="preserve">ve </w:t>
      </w:r>
      <w:r w:rsidR="00A72682" w:rsidRPr="003D5488">
        <w:rPr>
          <w:rFonts w:ascii="Times New Roman" w:eastAsia="Times New Roman" w:hAnsi="Times New Roman" w:cs="Times New Roman"/>
          <w:sz w:val="24"/>
          <w:szCs w:val="24"/>
          <w:lang w:eastAsia="tr-TR"/>
        </w:rPr>
        <w:t xml:space="preserve">500 </w:t>
      </w:r>
      <w:r w:rsidR="00C750FB" w:rsidRPr="003D5488">
        <w:rPr>
          <w:rFonts w:ascii="Times New Roman" w:eastAsia="Times New Roman" w:hAnsi="Times New Roman" w:cs="Times New Roman"/>
          <w:sz w:val="24"/>
          <w:szCs w:val="24"/>
          <w:lang w:eastAsia="tr-TR"/>
        </w:rPr>
        <w:t xml:space="preserve">Euro) </w:t>
      </w:r>
      <w:r w:rsidR="00A72682" w:rsidRPr="003D5488">
        <w:rPr>
          <w:rFonts w:ascii="Times New Roman" w:eastAsia="Times New Roman" w:hAnsi="Times New Roman" w:cs="Times New Roman"/>
          <w:sz w:val="24"/>
          <w:szCs w:val="24"/>
          <w:lang w:eastAsia="tr-TR"/>
        </w:rPr>
        <w:t xml:space="preserve">ve avukatlarının </w:t>
      </w:r>
      <w:r w:rsidR="00C750FB" w:rsidRPr="003D5488">
        <w:rPr>
          <w:rFonts w:ascii="Times New Roman" w:eastAsia="Times New Roman" w:hAnsi="Times New Roman" w:cs="Times New Roman"/>
          <w:sz w:val="24"/>
          <w:szCs w:val="24"/>
          <w:lang w:eastAsia="tr-TR"/>
        </w:rPr>
        <w:t>(16,637 TL, yaklaşık 2,500 Euro)</w:t>
      </w:r>
      <w:r w:rsidR="00A72682" w:rsidRPr="003D5488">
        <w:rPr>
          <w:rFonts w:ascii="Times New Roman" w:eastAsia="Times New Roman" w:hAnsi="Times New Roman" w:cs="Times New Roman"/>
          <w:sz w:val="24"/>
          <w:szCs w:val="24"/>
          <w:lang w:eastAsia="tr-TR"/>
        </w:rPr>
        <w:t xml:space="preserve"> kendisini Edirne cezaevinde ziyaret etmek için uçak biletlerine ödediği harcamalarına karşılık 5,946 Euro maddi tazminat talebinde bulunmuştur. </w:t>
      </w:r>
      <w:proofErr w:type="gramEnd"/>
      <w:r w:rsidR="00A72682" w:rsidRPr="003D5488">
        <w:rPr>
          <w:rFonts w:ascii="Times New Roman" w:eastAsia="Times New Roman" w:hAnsi="Times New Roman" w:cs="Times New Roman"/>
          <w:sz w:val="24"/>
          <w:szCs w:val="24"/>
          <w:lang w:eastAsia="tr-TR"/>
        </w:rPr>
        <w:t>Başvurucu ayrıca, 50,000 Euro maddi tazminat talep etmiştir.</w:t>
      </w:r>
    </w:p>
    <w:p w:rsidR="00A72682"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446.  </w:t>
      </w:r>
      <w:r w:rsidR="00A72682" w:rsidRPr="003D5488">
        <w:rPr>
          <w:rFonts w:ascii="Times New Roman" w:eastAsia="Times New Roman" w:hAnsi="Times New Roman" w:cs="Times New Roman"/>
          <w:sz w:val="24"/>
          <w:szCs w:val="24"/>
          <w:lang w:eastAsia="tr-TR"/>
        </w:rPr>
        <w:t xml:space="preserve">Hükümet, bu miktarın aşırı ve Mahkeme’nin yerleşik içtihadına aykırı olduğunu ileri sürmüştür. </w:t>
      </w:r>
    </w:p>
    <w:p w:rsidR="00CF3555"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447.  </w:t>
      </w:r>
      <w:r w:rsidR="00A72682" w:rsidRPr="003D5488">
        <w:rPr>
          <w:rFonts w:ascii="Times New Roman" w:eastAsia="Times New Roman" w:hAnsi="Times New Roman" w:cs="Times New Roman"/>
          <w:sz w:val="24"/>
          <w:szCs w:val="24"/>
          <w:lang w:eastAsia="tr-TR"/>
        </w:rPr>
        <w:t xml:space="preserve">Maddi tazminata ilişkin Mahkeme, söz konusu zararın iddia edilen ihlaller sonucunda meydana geldiğini ispatlama yükümlülüğünün başvurucularda olduğunu belirtmiştir. Başvurucular, iddialarını destekleyecek belgeler sunmak zorundadır. Bu bağlamda, zarar ile Sözleşme’nin ihlali arasında açık bir illiyet bağı ortaya konulmak zorundadır. Mahkeme, </w:t>
      </w:r>
      <w:proofErr w:type="gramStart"/>
      <w:r w:rsidR="00A72682" w:rsidRPr="003D5488">
        <w:rPr>
          <w:rFonts w:ascii="Times New Roman" w:eastAsia="Times New Roman" w:hAnsi="Times New Roman" w:cs="Times New Roman"/>
          <w:sz w:val="24"/>
          <w:szCs w:val="24"/>
          <w:lang w:eastAsia="tr-TR"/>
        </w:rPr>
        <w:t>spekülatif</w:t>
      </w:r>
      <w:proofErr w:type="gramEnd"/>
      <w:r w:rsidR="00A72682" w:rsidRPr="003D5488">
        <w:rPr>
          <w:rFonts w:ascii="Times New Roman" w:eastAsia="Times New Roman" w:hAnsi="Times New Roman" w:cs="Times New Roman"/>
          <w:sz w:val="24"/>
          <w:szCs w:val="24"/>
          <w:lang w:eastAsia="tr-TR"/>
        </w:rPr>
        <w:t xml:space="preserve"> bir bağın yeterli olmadığını belirtmiştir. (bakınız </w:t>
      </w:r>
      <w:proofErr w:type="spellStart"/>
      <w:r w:rsidR="00A72682" w:rsidRPr="003D5488">
        <w:rPr>
          <w:rFonts w:ascii="Times New Roman" w:eastAsia="Times New Roman" w:hAnsi="Times New Roman" w:cs="Times New Roman"/>
          <w:i/>
          <w:iCs/>
          <w:sz w:val="24"/>
          <w:szCs w:val="24"/>
          <w:lang w:eastAsia="tr-TR"/>
        </w:rPr>
        <w:t>Bykov</w:t>
      </w:r>
      <w:proofErr w:type="spellEnd"/>
      <w:r w:rsidR="00A72682" w:rsidRPr="003D5488">
        <w:rPr>
          <w:rFonts w:ascii="Times New Roman" w:eastAsia="Times New Roman" w:hAnsi="Times New Roman" w:cs="Times New Roman"/>
          <w:i/>
          <w:iCs/>
          <w:sz w:val="24"/>
          <w:szCs w:val="24"/>
          <w:lang w:eastAsia="tr-TR"/>
        </w:rPr>
        <w:t xml:space="preserve"> v. Rusya</w:t>
      </w:r>
      <w:r w:rsidR="00A72682" w:rsidRPr="003D5488">
        <w:rPr>
          <w:rFonts w:ascii="Times New Roman" w:eastAsia="Times New Roman" w:hAnsi="Times New Roman" w:cs="Times New Roman"/>
          <w:sz w:val="24"/>
          <w:szCs w:val="24"/>
          <w:lang w:eastAsia="tr-TR"/>
        </w:rPr>
        <w:t> [BD</w:t>
      </w:r>
      <w:r w:rsidRPr="003D5488">
        <w:rPr>
          <w:rFonts w:ascii="Times New Roman" w:eastAsia="Times New Roman" w:hAnsi="Times New Roman" w:cs="Times New Roman"/>
          <w:sz w:val="24"/>
          <w:szCs w:val="24"/>
          <w:lang w:eastAsia="tr-TR"/>
        </w:rPr>
        <w:t xml:space="preserve">], </w:t>
      </w:r>
      <w:proofErr w:type="spellStart"/>
      <w:r w:rsidRPr="003D5488">
        <w:rPr>
          <w:rFonts w:ascii="Times New Roman" w:eastAsia="Times New Roman" w:hAnsi="Times New Roman" w:cs="Times New Roman"/>
          <w:sz w:val="24"/>
          <w:szCs w:val="24"/>
          <w:lang w:eastAsia="tr-TR"/>
        </w:rPr>
        <w:t>no</w:t>
      </w:r>
      <w:proofErr w:type="spellEnd"/>
      <w:r w:rsidRPr="003D5488">
        <w:rPr>
          <w:rFonts w:ascii="Times New Roman" w:eastAsia="Times New Roman" w:hAnsi="Times New Roman" w:cs="Times New Roman"/>
          <w:sz w:val="24"/>
          <w:szCs w:val="24"/>
          <w:lang w:eastAsia="tr-TR"/>
        </w:rPr>
        <w:t>. </w:t>
      </w:r>
      <w:r w:rsidRPr="003D5488">
        <w:rPr>
          <w:rFonts w:ascii="Times New Roman" w:eastAsia="Times New Roman" w:hAnsi="Times New Roman" w:cs="Times New Roman"/>
          <w:sz w:val="24"/>
          <w:szCs w:val="24"/>
          <w:u w:val="single"/>
          <w:lang w:eastAsia="tr-TR"/>
        </w:rPr>
        <w:t>4378/02</w:t>
      </w:r>
      <w:r w:rsidRPr="003D5488">
        <w:rPr>
          <w:rFonts w:ascii="Times New Roman" w:eastAsia="Times New Roman" w:hAnsi="Times New Roman" w:cs="Times New Roman"/>
          <w:sz w:val="24"/>
          <w:szCs w:val="24"/>
          <w:lang w:eastAsia="tr-TR"/>
        </w:rPr>
        <w:t xml:space="preserve">, § 110, 10 </w:t>
      </w:r>
      <w:r w:rsidR="00A72682" w:rsidRPr="003D5488">
        <w:rPr>
          <w:rFonts w:ascii="Times New Roman" w:eastAsia="Times New Roman" w:hAnsi="Times New Roman" w:cs="Times New Roman"/>
          <w:sz w:val="24"/>
          <w:szCs w:val="24"/>
          <w:lang w:eastAsia="tr-TR"/>
        </w:rPr>
        <w:t>Mart</w:t>
      </w:r>
      <w:r w:rsidRPr="003D5488">
        <w:rPr>
          <w:rFonts w:ascii="Times New Roman" w:eastAsia="Times New Roman" w:hAnsi="Times New Roman" w:cs="Times New Roman"/>
          <w:sz w:val="24"/>
          <w:szCs w:val="24"/>
          <w:lang w:eastAsia="tr-TR"/>
        </w:rPr>
        <w:t xml:space="preserve"> </w:t>
      </w:r>
      <w:proofErr w:type="gramStart"/>
      <w:r w:rsidRPr="003D5488">
        <w:rPr>
          <w:rFonts w:ascii="Times New Roman" w:eastAsia="Times New Roman" w:hAnsi="Times New Roman" w:cs="Times New Roman"/>
          <w:sz w:val="24"/>
          <w:szCs w:val="24"/>
          <w:lang w:eastAsia="tr-TR"/>
        </w:rPr>
        <w:t>2009,</w:t>
      </w:r>
      <w:proofErr w:type="gramEnd"/>
      <w:r w:rsidRPr="003D5488">
        <w:rPr>
          <w:rFonts w:ascii="Times New Roman" w:eastAsia="Times New Roman" w:hAnsi="Times New Roman" w:cs="Times New Roman"/>
          <w:sz w:val="24"/>
          <w:szCs w:val="24"/>
          <w:lang w:eastAsia="tr-TR"/>
        </w:rPr>
        <w:t xml:space="preserve"> </w:t>
      </w:r>
      <w:r w:rsidR="00A72682" w:rsidRPr="003D5488">
        <w:rPr>
          <w:rFonts w:ascii="Times New Roman" w:eastAsia="Times New Roman" w:hAnsi="Times New Roman" w:cs="Times New Roman"/>
          <w:sz w:val="24"/>
          <w:szCs w:val="24"/>
          <w:lang w:eastAsia="tr-TR"/>
        </w:rPr>
        <w:t>ve</w:t>
      </w:r>
      <w:r w:rsidRPr="003D5488">
        <w:rPr>
          <w:rFonts w:ascii="Times New Roman" w:eastAsia="Times New Roman" w:hAnsi="Times New Roman" w:cs="Times New Roman"/>
          <w:sz w:val="24"/>
          <w:szCs w:val="24"/>
          <w:lang w:eastAsia="tr-TR"/>
        </w:rPr>
        <w:t> </w:t>
      </w:r>
      <w:proofErr w:type="spellStart"/>
      <w:r w:rsidR="00A72682" w:rsidRPr="003D5488">
        <w:rPr>
          <w:rFonts w:ascii="Times New Roman" w:eastAsia="Times New Roman" w:hAnsi="Times New Roman" w:cs="Times New Roman"/>
          <w:i/>
          <w:iCs/>
          <w:sz w:val="24"/>
          <w:szCs w:val="24"/>
          <w:lang w:eastAsia="tr-TR"/>
        </w:rPr>
        <w:t>Satakunnan</w:t>
      </w:r>
      <w:proofErr w:type="spellEnd"/>
      <w:r w:rsidR="00A72682" w:rsidRPr="003D5488">
        <w:rPr>
          <w:rFonts w:ascii="Times New Roman" w:eastAsia="Times New Roman" w:hAnsi="Times New Roman" w:cs="Times New Roman"/>
          <w:i/>
          <w:iCs/>
          <w:sz w:val="24"/>
          <w:szCs w:val="24"/>
          <w:lang w:eastAsia="tr-TR"/>
        </w:rPr>
        <w:t xml:space="preserve"> </w:t>
      </w:r>
      <w:proofErr w:type="spellStart"/>
      <w:r w:rsidR="00A72682" w:rsidRPr="003D5488">
        <w:rPr>
          <w:rFonts w:ascii="Times New Roman" w:eastAsia="Times New Roman" w:hAnsi="Times New Roman" w:cs="Times New Roman"/>
          <w:i/>
          <w:iCs/>
          <w:sz w:val="24"/>
          <w:szCs w:val="24"/>
          <w:lang w:eastAsia="tr-TR"/>
        </w:rPr>
        <w:t>Markkinapörssi</w:t>
      </w:r>
      <w:proofErr w:type="spellEnd"/>
      <w:r w:rsidR="00A72682" w:rsidRPr="003D5488">
        <w:rPr>
          <w:rFonts w:ascii="Times New Roman" w:eastAsia="Times New Roman" w:hAnsi="Times New Roman" w:cs="Times New Roman"/>
          <w:i/>
          <w:iCs/>
          <w:sz w:val="24"/>
          <w:szCs w:val="24"/>
          <w:lang w:eastAsia="tr-TR"/>
        </w:rPr>
        <w:t xml:space="preserve"> Oy ve</w:t>
      </w:r>
      <w:r w:rsidRPr="003D5488">
        <w:rPr>
          <w:rFonts w:ascii="Times New Roman" w:eastAsia="Times New Roman" w:hAnsi="Times New Roman" w:cs="Times New Roman"/>
          <w:i/>
          <w:iCs/>
          <w:sz w:val="24"/>
          <w:szCs w:val="24"/>
          <w:lang w:eastAsia="tr-TR"/>
        </w:rPr>
        <w:t xml:space="preserve"> </w:t>
      </w:r>
      <w:proofErr w:type="spellStart"/>
      <w:r w:rsidRPr="003D5488">
        <w:rPr>
          <w:rFonts w:ascii="Times New Roman" w:eastAsia="Times New Roman" w:hAnsi="Times New Roman" w:cs="Times New Roman"/>
          <w:i/>
          <w:iCs/>
          <w:sz w:val="24"/>
          <w:szCs w:val="24"/>
          <w:lang w:eastAsia="tr-TR"/>
        </w:rPr>
        <w:t>Satamedia</w:t>
      </w:r>
      <w:proofErr w:type="spellEnd"/>
      <w:r w:rsidRPr="003D5488">
        <w:rPr>
          <w:rFonts w:ascii="Times New Roman" w:eastAsia="Times New Roman" w:hAnsi="Times New Roman" w:cs="Times New Roman"/>
          <w:i/>
          <w:iCs/>
          <w:sz w:val="24"/>
          <w:szCs w:val="24"/>
          <w:lang w:eastAsia="tr-TR"/>
        </w:rPr>
        <w:t xml:space="preserve"> Oy</w:t>
      </w:r>
      <w:r w:rsidRPr="003D5488">
        <w:rPr>
          <w:rFonts w:ascii="Times New Roman" w:eastAsia="Times New Roman" w:hAnsi="Times New Roman" w:cs="Times New Roman"/>
          <w:sz w:val="24"/>
          <w:szCs w:val="24"/>
          <w:lang w:eastAsia="tr-TR"/>
        </w:rPr>
        <w:t>, </w:t>
      </w:r>
      <w:r w:rsidR="00A72682" w:rsidRPr="003D5488">
        <w:rPr>
          <w:rFonts w:ascii="Times New Roman" w:eastAsia="Times New Roman" w:hAnsi="Times New Roman" w:cs="Times New Roman"/>
          <w:sz w:val="24"/>
          <w:szCs w:val="24"/>
          <w:lang w:eastAsia="tr-TR"/>
        </w:rPr>
        <w:t>yukarıda anılan</w:t>
      </w:r>
      <w:r w:rsidRPr="003D5488">
        <w:rPr>
          <w:rFonts w:ascii="Times New Roman" w:eastAsia="Times New Roman" w:hAnsi="Times New Roman" w:cs="Times New Roman"/>
          <w:sz w:val="24"/>
          <w:szCs w:val="24"/>
          <w:lang w:eastAsia="tr-TR"/>
        </w:rPr>
        <w:t>, § 219).</w:t>
      </w:r>
    </w:p>
    <w:p w:rsidR="0010508A"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lastRenderedPageBreak/>
        <w:t>448.  </w:t>
      </w:r>
      <w:r w:rsidR="00A72682" w:rsidRPr="003D5488">
        <w:rPr>
          <w:rFonts w:ascii="Times New Roman" w:eastAsia="Times New Roman" w:hAnsi="Times New Roman" w:cs="Times New Roman"/>
          <w:sz w:val="24"/>
          <w:szCs w:val="24"/>
          <w:lang w:eastAsia="tr-TR"/>
        </w:rPr>
        <w:t xml:space="preserve">Söz konusu davada, Sözleşme’nin ihlal edildiği kararı ağırlıklı olarak başvurucunun tutukluluğunun ve tutukluluk halinin devamının bir sonucudur. </w:t>
      </w:r>
      <w:r w:rsidR="0010508A" w:rsidRPr="003D5488">
        <w:rPr>
          <w:rFonts w:ascii="Times New Roman" w:eastAsia="Times New Roman" w:hAnsi="Times New Roman" w:cs="Times New Roman"/>
          <w:sz w:val="24"/>
          <w:szCs w:val="24"/>
          <w:lang w:eastAsia="tr-TR"/>
        </w:rPr>
        <w:t xml:space="preserve">Bu bağlamda Mahkeme, başvurucunun yakınları tarafından onu cezaevinde ziyaret etmek için yapılan harcamaların, maddi zarara yol açtığından şüphe etmemektedir. Bu nedenle, başvurucunun eşi ve iki kızının aldığı uçak biletlerinin değerine karşılık, başvurucuya 3,500 Euro ödenmesine karar verilmiştir. Ancak Mahkeme, kendisine sunulan belgelere dayanarak, söz konusu ihlal ile başvurucunun çektiği maddi zarar arasında illiyet bağı olmadığına karar vererek, tazminat talebini reddetmiştir. </w:t>
      </w:r>
    </w:p>
    <w:p w:rsidR="00AF22E8" w:rsidRPr="003D5488" w:rsidRDefault="00CF3555" w:rsidP="00B00E66">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449.  </w:t>
      </w:r>
      <w:r w:rsidR="0010508A" w:rsidRPr="003D5488">
        <w:rPr>
          <w:rFonts w:ascii="Times New Roman" w:eastAsia="Times New Roman" w:hAnsi="Times New Roman" w:cs="Times New Roman"/>
          <w:sz w:val="24"/>
          <w:szCs w:val="24"/>
          <w:lang w:eastAsia="tr-TR"/>
        </w:rPr>
        <w:t xml:space="preserve">Manevi tazminata ilişkin olarak Mahkeme, </w:t>
      </w:r>
      <w:r w:rsidR="00AF22E8" w:rsidRPr="003D5488">
        <w:rPr>
          <w:rFonts w:ascii="Times New Roman" w:eastAsia="Times New Roman" w:hAnsi="Times New Roman" w:cs="Times New Roman"/>
          <w:sz w:val="24"/>
          <w:szCs w:val="24"/>
          <w:lang w:eastAsia="tr-TR"/>
        </w:rPr>
        <w:t xml:space="preserve">Sözleşme’nin birçok maddesinin ve önemli ölçüde ihlal edilmiş olmasının başvurucuda büyük bir zarara yol açtığını tartışmasız bir şekilde kabul etmektedir. </w:t>
      </w:r>
      <w:r w:rsidR="0010508A" w:rsidRPr="003D5488">
        <w:rPr>
          <w:rFonts w:ascii="Times New Roman" w:eastAsia="Times New Roman" w:hAnsi="Times New Roman" w:cs="Times New Roman"/>
          <w:sz w:val="24"/>
          <w:szCs w:val="24"/>
          <w:lang w:eastAsia="tr-TR"/>
        </w:rPr>
        <w:t>Bu nedenle, başvurucuya 25,000 Euro manevi tazmina</w:t>
      </w:r>
      <w:r w:rsidR="00B00E66">
        <w:rPr>
          <w:rFonts w:ascii="Times New Roman" w:eastAsia="Times New Roman" w:hAnsi="Times New Roman" w:cs="Times New Roman"/>
          <w:sz w:val="24"/>
          <w:szCs w:val="24"/>
          <w:lang w:eastAsia="tr-TR"/>
        </w:rPr>
        <w:t xml:space="preserve">t verilmesine karar vermiştir. </w:t>
      </w:r>
    </w:p>
    <w:p w:rsidR="00CF3555" w:rsidRPr="003D5488" w:rsidRDefault="0010508A" w:rsidP="00724F6F">
      <w:pPr>
        <w:numPr>
          <w:ilvl w:val="0"/>
          <w:numId w:val="3"/>
        </w:numPr>
        <w:shd w:val="clear" w:color="auto" w:fill="FFFFFF"/>
        <w:spacing w:before="100" w:after="120" w:line="276" w:lineRule="auto"/>
        <w:ind w:left="640" w:firstLine="0"/>
        <w:jc w:val="both"/>
        <w:rPr>
          <w:rFonts w:ascii="Times New Roman" w:eastAsia="Times New Roman" w:hAnsi="Times New Roman" w:cs="Times New Roman"/>
          <w:i/>
          <w:iCs/>
          <w:sz w:val="24"/>
          <w:szCs w:val="24"/>
          <w:lang w:eastAsia="tr-TR"/>
        </w:rPr>
      </w:pPr>
      <w:r w:rsidRPr="003D5488">
        <w:rPr>
          <w:rFonts w:ascii="Times New Roman" w:eastAsia="Times New Roman" w:hAnsi="Times New Roman" w:cs="Times New Roman"/>
          <w:i/>
          <w:sz w:val="24"/>
          <w:szCs w:val="24"/>
          <w:lang w:eastAsia="tr-TR"/>
        </w:rPr>
        <w:t>Masraflar ve harcamalar</w:t>
      </w:r>
      <w:r w:rsidRPr="003D5488">
        <w:rPr>
          <w:rFonts w:ascii="Times New Roman" w:eastAsia="Times New Roman" w:hAnsi="Times New Roman" w:cs="Times New Roman"/>
          <w:sz w:val="24"/>
          <w:szCs w:val="24"/>
          <w:lang w:eastAsia="tr-TR"/>
        </w:rPr>
        <w:t xml:space="preserve"> </w:t>
      </w:r>
    </w:p>
    <w:p w:rsidR="0010508A"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450.  </w:t>
      </w:r>
      <w:r w:rsidR="0010508A" w:rsidRPr="003D5488">
        <w:rPr>
          <w:rFonts w:ascii="Times New Roman" w:eastAsia="Times New Roman" w:hAnsi="Times New Roman" w:cs="Times New Roman"/>
          <w:sz w:val="24"/>
          <w:szCs w:val="24"/>
          <w:lang w:eastAsia="tr-TR"/>
        </w:rPr>
        <w:t xml:space="preserve">Başvurucu, Daire önünde, masraf ve harcamalar için 40,000 Euro talep etmiştir. Daire, başvurucuya 15,000 Euro verilmesine karar vermiştir. </w:t>
      </w:r>
    </w:p>
    <w:p w:rsidR="006B5D6C"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451.  </w:t>
      </w:r>
      <w:r w:rsidR="0010508A" w:rsidRPr="003D5488">
        <w:rPr>
          <w:rFonts w:ascii="Times New Roman" w:eastAsia="Times New Roman" w:hAnsi="Times New Roman" w:cs="Times New Roman"/>
          <w:sz w:val="24"/>
          <w:szCs w:val="24"/>
          <w:lang w:eastAsia="tr-TR"/>
        </w:rPr>
        <w:t xml:space="preserve">Büyük Daire önünde başvurucu, temsilcilerinin masraflarını karşılamak için masraf ve harcama olarak 25,800 Euro talep etmiştir. Bu talebini desteklemek amacıyla başvurucu, avukatları ile imzaladığı ve her bir avukatının çalışma süresini içeren, Karaman için 30 saat, </w:t>
      </w:r>
      <w:proofErr w:type="spellStart"/>
      <w:r w:rsidR="0010508A" w:rsidRPr="003D5488">
        <w:rPr>
          <w:rFonts w:ascii="Times New Roman" w:eastAsia="Times New Roman" w:hAnsi="Times New Roman" w:cs="Times New Roman"/>
          <w:sz w:val="24"/>
          <w:szCs w:val="24"/>
          <w:lang w:eastAsia="tr-TR"/>
        </w:rPr>
        <w:t>Molu</w:t>
      </w:r>
      <w:proofErr w:type="spellEnd"/>
      <w:r w:rsidR="0010508A" w:rsidRPr="003D5488">
        <w:rPr>
          <w:rFonts w:ascii="Times New Roman" w:eastAsia="Times New Roman" w:hAnsi="Times New Roman" w:cs="Times New Roman"/>
          <w:sz w:val="24"/>
          <w:szCs w:val="24"/>
          <w:lang w:eastAsia="tr-TR"/>
        </w:rPr>
        <w:t xml:space="preserve"> için 45 saat, Altıparmak için 36 saat, Demir için 35 saat, Çalı için 36 saat ve Demirtaş Gökalp için 40 saatten oluşan sözleşmeyi sunmuştur. Başvurucunun avukatlarının saat başı ücretleri Çalı ve Altıparmak için 150 Euro, diğer avukatlar için 100 Euro olarak belirtilmiştir. Başvurucu, </w:t>
      </w:r>
      <w:r w:rsidR="006B5D6C" w:rsidRPr="003D5488">
        <w:rPr>
          <w:rFonts w:ascii="Times New Roman" w:eastAsia="Times New Roman" w:hAnsi="Times New Roman" w:cs="Times New Roman"/>
          <w:sz w:val="24"/>
          <w:szCs w:val="24"/>
          <w:lang w:eastAsia="tr-TR"/>
        </w:rPr>
        <w:t xml:space="preserve">çeviri masrafları için makbuz sunarak </w:t>
      </w:r>
      <w:r w:rsidR="0010508A" w:rsidRPr="003D5488">
        <w:rPr>
          <w:rFonts w:ascii="Times New Roman" w:eastAsia="Times New Roman" w:hAnsi="Times New Roman" w:cs="Times New Roman"/>
          <w:sz w:val="24"/>
          <w:szCs w:val="24"/>
          <w:lang w:eastAsia="tr-TR"/>
        </w:rPr>
        <w:t xml:space="preserve">40,332 TL (yaklaşık 6,000 Euro) talep etmiştir. </w:t>
      </w:r>
    </w:p>
    <w:p w:rsidR="006B5D6C"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452.  </w:t>
      </w:r>
      <w:r w:rsidR="006B5D6C" w:rsidRPr="003D5488">
        <w:rPr>
          <w:rFonts w:ascii="Times New Roman" w:eastAsia="Times New Roman" w:hAnsi="Times New Roman" w:cs="Times New Roman"/>
          <w:sz w:val="24"/>
          <w:szCs w:val="24"/>
          <w:lang w:eastAsia="tr-TR"/>
        </w:rPr>
        <w:t xml:space="preserve">Hükümet, bu harcamalara itiraz etmiştir. </w:t>
      </w:r>
    </w:p>
    <w:p w:rsidR="006B5D6C" w:rsidRPr="003D5488" w:rsidRDefault="00CF3555"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3D5488">
        <w:rPr>
          <w:rFonts w:ascii="Times New Roman" w:eastAsia="Times New Roman" w:hAnsi="Times New Roman" w:cs="Times New Roman"/>
          <w:sz w:val="24"/>
          <w:szCs w:val="24"/>
          <w:lang w:eastAsia="tr-TR"/>
        </w:rPr>
        <w:t>453.  </w:t>
      </w:r>
      <w:r w:rsidR="006B5D6C" w:rsidRPr="003D5488">
        <w:rPr>
          <w:rFonts w:ascii="Times New Roman" w:eastAsia="Times New Roman" w:hAnsi="Times New Roman" w:cs="Times New Roman"/>
          <w:sz w:val="24"/>
          <w:szCs w:val="24"/>
          <w:lang w:eastAsia="tr-TR"/>
        </w:rPr>
        <w:t xml:space="preserve">Mahkeme’nin yerleşik içtihadına göre, bir başvurucuya yalnızca masraf ve harcamalarının doğruluğunu, gerekliliğini ve ödenen miktarların makul olduğunu ispatlamak kaydıyla, bu masraflar iade edilebilmektedir. Mahkeme, somut olayda kendisine sunulan belgeleri ve içtihatlarını dikkate alarak, başvurucuya bu tazminatların ödenmesinin makul olduğuna karar vermiştir. </w:t>
      </w:r>
    </w:p>
    <w:p w:rsidR="00657F79" w:rsidRPr="003D5488" w:rsidRDefault="00657F79" w:rsidP="0060280C">
      <w:pPr>
        <w:pStyle w:val="sc9afb02f"/>
        <w:shd w:val="clear" w:color="auto" w:fill="FFFFFF"/>
        <w:spacing w:before="120" w:beforeAutospacing="0" w:after="0" w:afterAutospacing="0" w:line="276" w:lineRule="auto"/>
        <w:ind w:firstLine="284"/>
        <w:jc w:val="both"/>
        <w:rPr>
          <w:i/>
        </w:rPr>
      </w:pPr>
      <w:r w:rsidRPr="003D5488">
        <w:rPr>
          <w:rStyle w:val="s7d2086b4"/>
          <w:bCs/>
          <w:i/>
        </w:rPr>
        <w:t>3. Gecikme Faizi</w:t>
      </w:r>
    </w:p>
    <w:p w:rsidR="00657F79" w:rsidRPr="003D5488" w:rsidRDefault="00657F79" w:rsidP="0060280C">
      <w:pPr>
        <w:pStyle w:val="s8042dbaf"/>
        <w:shd w:val="clear" w:color="auto" w:fill="FFFFFF"/>
        <w:spacing w:before="120" w:beforeAutospacing="0" w:after="0" w:afterAutospacing="0" w:line="276" w:lineRule="auto"/>
        <w:ind w:firstLine="284"/>
        <w:jc w:val="both"/>
      </w:pPr>
      <w:r w:rsidRPr="003D5488">
        <w:rPr>
          <w:rStyle w:val="s545313ee"/>
        </w:rPr>
        <w:t>454.</w:t>
      </w:r>
      <w:r w:rsidRPr="003D5488">
        <w:rPr>
          <w:rStyle w:val="s52c23de3"/>
        </w:rPr>
        <w:t> </w:t>
      </w:r>
      <w:r w:rsidRPr="003D5488">
        <w:rPr>
          <w:rStyle w:val="sb8d990e2"/>
        </w:rPr>
        <w:t xml:space="preserve">Mahkeme, söz konusu miktarlara, gecikme faizi olarak, Avrupa Merkez Bankası’nın </w:t>
      </w:r>
      <w:proofErr w:type="gramStart"/>
      <w:r w:rsidRPr="003D5488">
        <w:rPr>
          <w:rStyle w:val="sb8d990e2"/>
        </w:rPr>
        <w:t>marjinal</w:t>
      </w:r>
      <w:proofErr w:type="gramEnd"/>
      <w:r w:rsidRPr="003D5488">
        <w:rPr>
          <w:rStyle w:val="sb8d990e2"/>
        </w:rPr>
        <w:t xml:space="preserve"> kredilere uyguladığı faiz oranına üç puan </w:t>
      </w:r>
      <w:r w:rsidRPr="003D5488">
        <w:rPr>
          <w:rStyle w:val="sb8d990e2"/>
        </w:rPr>
        <w:lastRenderedPageBreak/>
        <w:t>eklemek suretiyle elde edilecek oranı uygulamanın uygun olduğuna karar vermektedir.</w:t>
      </w:r>
    </w:p>
    <w:p w:rsidR="00657F79" w:rsidRPr="003D5488" w:rsidRDefault="00657F79" w:rsidP="0060280C">
      <w:pPr>
        <w:shd w:val="clear" w:color="auto" w:fill="FFFFFF"/>
        <w:spacing w:after="0" w:line="276" w:lineRule="auto"/>
        <w:ind w:firstLine="284"/>
        <w:jc w:val="both"/>
        <w:rPr>
          <w:rFonts w:ascii="Times New Roman" w:eastAsia="Times New Roman" w:hAnsi="Times New Roman" w:cs="Times New Roman"/>
          <w:sz w:val="24"/>
          <w:szCs w:val="24"/>
          <w:lang w:eastAsia="tr-TR"/>
        </w:rPr>
      </w:pPr>
    </w:p>
    <w:p w:rsidR="00CF3555" w:rsidRDefault="00131F62" w:rsidP="00131F62">
      <w:pPr>
        <w:pStyle w:val="Balk1"/>
        <w:numPr>
          <w:ilvl w:val="0"/>
          <w:numId w:val="0"/>
        </w:numPr>
        <w:ind w:left="953" w:hanging="720"/>
      </w:pPr>
      <w:r>
        <w:t>MAHKEME BU SEBEPLERLE,</w:t>
      </w:r>
    </w:p>
    <w:p w:rsidR="009D7096" w:rsidRDefault="002C7EDA" w:rsidP="00724F6F">
      <w:pPr>
        <w:pStyle w:val="s8042dbaf"/>
        <w:numPr>
          <w:ilvl w:val="3"/>
          <w:numId w:val="26"/>
        </w:numPr>
        <w:shd w:val="clear" w:color="auto" w:fill="FFFFFF"/>
        <w:spacing w:before="120" w:beforeAutospacing="0" w:after="0" w:afterAutospacing="0" w:line="276" w:lineRule="auto"/>
        <w:ind w:left="180"/>
        <w:jc w:val="both"/>
      </w:pPr>
      <w:r w:rsidRPr="00317EB5">
        <w:t>Oybirliğiyle</w:t>
      </w:r>
      <w:r w:rsidR="00317EB5">
        <w:t>,</w:t>
      </w:r>
      <w:r w:rsidRPr="00317EB5">
        <w:t xml:space="preserve"> Sözleşme’nin 35. maddesi 2. f</w:t>
      </w:r>
      <w:r w:rsidR="005935CF">
        <w:t xml:space="preserve">ıkrası b bendine ilişkin </w:t>
      </w:r>
      <w:r w:rsidR="00317EB5">
        <w:t xml:space="preserve">Hükümet ön itirazlarını </w:t>
      </w:r>
      <w:r w:rsidR="00317EB5" w:rsidRPr="00317EB5">
        <w:rPr>
          <w:i/>
        </w:rPr>
        <w:t>reddetmiş</w:t>
      </w:r>
      <w:r w:rsidR="009D7096">
        <w:t>;</w:t>
      </w:r>
    </w:p>
    <w:p w:rsidR="009D7096" w:rsidRDefault="009D7096" w:rsidP="00724F6F">
      <w:pPr>
        <w:pStyle w:val="s8042dbaf"/>
        <w:numPr>
          <w:ilvl w:val="3"/>
          <w:numId w:val="26"/>
        </w:numPr>
        <w:shd w:val="clear" w:color="auto" w:fill="FFFFFF"/>
        <w:spacing w:before="120" w:beforeAutospacing="0" w:after="0" w:afterAutospacing="0" w:line="276" w:lineRule="auto"/>
        <w:ind w:left="180"/>
        <w:jc w:val="both"/>
      </w:pPr>
      <w:r>
        <w:t xml:space="preserve">Oybirliğiyle, </w:t>
      </w:r>
      <w:r w:rsidRPr="009D7096">
        <w:t>Anayasa Mahkemesi’ne bireysel başvuru yapılmadığına dair</w:t>
      </w:r>
      <w:r>
        <w:t xml:space="preserve"> Hükümet</w:t>
      </w:r>
      <w:r w:rsidRPr="009D7096">
        <w:t xml:space="preserve"> ön itiraz</w:t>
      </w:r>
      <w:r>
        <w:t xml:space="preserve">ını </w:t>
      </w:r>
      <w:r w:rsidRPr="002F275E">
        <w:rPr>
          <w:i/>
        </w:rPr>
        <w:t>reddetmiş</w:t>
      </w:r>
      <w:r>
        <w:t>;</w:t>
      </w:r>
    </w:p>
    <w:p w:rsidR="005935CF" w:rsidRDefault="002F275E" w:rsidP="00724F6F">
      <w:pPr>
        <w:pStyle w:val="s8042dbaf"/>
        <w:numPr>
          <w:ilvl w:val="3"/>
          <w:numId w:val="26"/>
        </w:numPr>
        <w:shd w:val="clear" w:color="auto" w:fill="FFFFFF"/>
        <w:spacing w:before="120" w:beforeAutospacing="0" w:after="0" w:afterAutospacing="0" w:line="276" w:lineRule="auto"/>
        <w:ind w:left="180"/>
        <w:jc w:val="both"/>
      </w:pPr>
      <w:r>
        <w:t xml:space="preserve">Oybirliğiyle, </w:t>
      </w:r>
      <w:r w:rsidR="00F53194">
        <w:t xml:space="preserve">Sözleşme’nin 5. maddesinin 3. fıkrası, 18. maddesi ve </w:t>
      </w:r>
      <w:proofErr w:type="spellStart"/>
      <w:r w:rsidRPr="002050A7">
        <w:t>Sözleşme'ye</w:t>
      </w:r>
      <w:proofErr w:type="spellEnd"/>
      <w:r w:rsidRPr="002050A7">
        <w:t xml:space="preserve"> Ek 1 Nu</w:t>
      </w:r>
      <w:r>
        <w:t xml:space="preserve">maralı Protokol'ün 3. maddesi kapsamında şikâyetler iç hukuk yollarının tüketilmediğine dair Hükümet ön itirazını </w:t>
      </w:r>
      <w:r w:rsidRPr="002F275E">
        <w:rPr>
          <w:i/>
        </w:rPr>
        <w:t>reddetmiş</w:t>
      </w:r>
      <w:r>
        <w:t>;</w:t>
      </w:r>
    </w:p>
    <w:p w:rsidR="009D7096" w:rsidRDefault="006E091E" w:rsidP="00724F6F">
      <w:pPr>
        <w:pStyle w:val="s8042dbaf"/>
        <w:numPr>
          <w:ilvl w:val="3"/>
          <w:numId w:val="26"/>
        </w:numPr>
        <w:shd w:val="clear" w:color="auto" w:fill="FFFFFF"/>
        <w:spacing w:before="120" w:beforeAutospacing="0" w:after="0" w:afterAutospacing="0" w:line="276" w:lineRule="auto"/>
        <w:ind w:left="180"/>
        <w:jc w:val="both"/>
      </w:pPr>
      <w:r>
        <w:t>Oybirliğiyle, t</w:t>
      </w:r>
      <w:r w:rsidR="005935CF" w:rsidRPr="005935CF">
        <w:t>azminat talebi için hukuki bir yola başvurulmamasına</w:t>
      </w:r>
      <w:r w:rsidR="00C82A19">
        <w:t xml:space="preserve"> dair Hükümet</w:t>
      </w:r>
      <w:r w:rsidR="005935CF" w:rsidRPr="005935CF">
        <w:t xml:space="preserve"> </w:t>
      </w:r>
      <w:r w:rsidR="00C82A19">
        <w:t xml:space="preserve">ön itirazını </w:t>
      </w:r>
      <w:r w:rsidR="00C82A19" w:rsidRPr="00C82A19">
        <w:rPr>
          <w:i/>
        </w:rPr>
        <w:t>reddetmiş</w:t>
      </w:r>
      <w:r w:rsidR="00C82A19">
        <w:t>;</w:t>
      </w:r>
    </w:p>
    <w:p w:rsidR="00C82A19" w:rsidRDefault="006E091E" w:rsidP="00724F6F">
      <w:pPr>
        <w:pStyle w:val="s8042dbaf"/>
        <w:numPr>
          <w:ilvl w:val="3"/>
          <w:numId w:val="26"/>
        </w:numPr>
        <w:shd w:val="clear" w:color="auto" w:fill="FFFFFF"/>
        <w:spacing w:before="120" w:beforeAutospacing="0" w:after="0" w:afterAutospacing="0" w:line="276" w:lineRule="auto"/>
        <w:ind w:left="180"/>
        <w:jc w:val="both"/>
      </w:pPr>
      <w:r>
        <w:t xml:space="preserve">Oy çokluğuyla, </w:t>
      </w:r>
      <w:r w:rsidR="00C0681D">
        <w:t xml:space="preserve">Sözleşme’nin 5. maddesinin 3. fıkrası kapsamında mağdur statüsü bulunmadığına ilişkin Hükümet ön itirazını </w:t>
      </w:r>
      <w:r w:rsidR="00C0681D" w:rsidRPr="00C0681D">
        <w:rPr>
          <w:i/>
        </w:rPr>
        <w:t>reddetmiş</w:t>
      </w:r>
      <w:r w:rsidR="00C0681D">
        <w:t>;</w:t>
      </w:r>
    </w:p>
    <w:p w:rsidR="00C0681D" w:rsidRDefault="0089710C" w:rsidP="00724F6F">
      <w:pPr>
        <w:pStyle w:val="s8042dbaf"/>
        <w:numPr>
          <w:ilvl w:val="3"/>
          <w:numId w:val="26"/>
        </w:numPr>
        <w:shd w:val="clear" w:color="auto" w:fill="FFFFFF"/>
        <w:spacing w:before="120" w:beforeAutospacing="0" w:after="0" w:afterAutospacing="0" w:line="276" w:lineRule="auto"/>
        <w:ind w:left="180"/>
        <w:jc w:val="both"/>
        <w:rPr>
          <w:i/>
        </w:rPr>
      </w:pPr>
      <w:r>
        <w:t xml:space="preserve">Oy çokluğuyla, Sözleşme’nin 10. maddesi ve </w:t>
      </w:r>
      <w:proofErr w:type="spellStart"/>
      <w:r w:rsidRPr="002050A7">
        <w:t>Sözleşme'ye</w:t>
      </w:r>
      <w:proofErr w:type="spellEnd"/>
      <w:r w:rsidRPr="002050A7">
        <w:t xml:space="preserve"> Ek 1 Nu</w:t>
      </w:r>
      <w:r>
        <w:t xml:space="preserve">maralı Protokol'ün 3. maddesi kapsamında mağdur statüsü bulunmadığına ilişkin Hükümet ön itirazını </w:t>
      </w:r>
      <w:r w:rsidRPr="00C0681D">
        <w:rPr>
          <w:i/>
        </w:rPr>
        <w:t>reddetmiş</w:t>
      </w:r>
      <w:r>
        <w:rPr>
          <w:i/>
        </w:rPr>
        <w:t>;</w:t>
      </w:r>
    </w:p>
    <w:p w:rsidR="0089710C" w:rsidRDefault="0089710C" w:rsidP="00724F6F">
      <w:pPr>
        <w:pStyle w:val="s8042dbaf"/>
        <w:numPr>
          <w:ilvl w:val="3"/>
          <w:numId w:val="26"/>
        </w:numPr>
        <w:shd w:val="clear" w:color="auto" w:fill="FFFFFF"/>
        <w:spacing w:before="120" w:beforeAutospacing="0" w:after="0" w:afterAutospacing="0" w:line="276" w:lineRule="auto"/>
        <w:ind w:left="180"/>
        <w:jc w:val="both"/>
      </w:pPr>
      <w:r>
        <w:t xml:space="preserve">Oybirliğiyle, başvuruyu kabul edilebilir </w:t>
      </w:r>
      <w:r w:rsidRPr="0089710C">
        <w:rPr>
          <w:i/>
        </w:rPr>
        <w:t>bulmuş</w:t>
      </w:r>
      <w:r>
        <w:t>;</w:t>
      </w:r>
    </w:p>
    <w:p w:rsidR="0089710C" w:rsidRDefault="00E33979" w:rsidP="00724F6F">
      <w:pPr>
        <w:pStyle w:val="s8042dbaf"/>
        <w:numPr>
          <w:ilvl w:val="3"/>
          <w:numId w:val="26"/>
        </w:numPr>
        <w:shd w:val="clear" w:color="auto" w:fill="FFFFFF"/>
        <w:spacing w:before="120" w:beforeAutospacing="0" w:after="0" w:afterAutospacing="0" w:line="276" w:lineRule="auto"/>
        <w:ind w:left="180"/>
        <w:jc w:val="both"/>
      </w:pPr>
      <w:r>
        <w:t xml:space="preserve">On altı oya karşı bir oyla, Sözleşme’nin 10. maddesinin ihlal edildiğine </w:t>
      </w:r>
      <w:r w:rsidRPr="00E33979">
        <w:rPr>
          <w:i/>
        </w:rPr>
        <w:t>karar vermiş</w:t>
      </w:r>
      <w:r>
        <w:t>;</w:t>
      </w:r>
    </w:p>
    <w:p w:rsidR="00E33979" w:rsidRDefault="00E33979" w:rsidP="00724F6F">
      <w:pPr>
        <w:pStyle w:val="s8042dbaf"/>
        <w:numPr>
          <w:ilvl w:val="3"/>
          <w:numId w:val="26"/>
        </w:numPr>
        <w:shd w:val="clear" w:color="auto" w:fill="FFFFFF"/>
        <w:spacing w:before="120" w:beforeAutospacing="0" w:after="0" w:afterAutospacing="0" w:line="276" w:lineRule="auto"/>
        <w:ind w:left="180"/>
        <w:jc w:val="both"/>
      </w:pPr>
      <w:r>
        <w:t xml:space="preserve">On beş oya karşı iki oyla, Sözleşme’nin </w:t>
      </w:r>
      <w:r w:rsidR="000B28C8">
        <w:t xml:space="preserve">5. maddesinin 1. fıkrasının </w:t>
      </w:r>
      <w:r>
        <w:t xml:space="preserve">ihlal edildiğine </w:t>
      </w:r>
      <w:r w:rsidRPr="00E33979">
        <w:rPr>
          <w:i/>
        </w:rPr>
        <w:t>karar vermiş</w:t>
      </w:r>
      <w:r>
        <w:t>;</w:t>
      </w:r>
    </w:p>
    <w:p w:rsidR="000B28C8" w:rsidRDefault="009A42E1" w:rsidP="00724F6F">
      <w:pPr>
        <w:pStyle w:val="s8042dbaf"/>
        <w:numPr>
          <w:ilvl w:val="3"/>
          <w:numId w:val="26"/>
        </w:numPr>
        <w:shd w:val="clear" w:color="auto" w:fill="FFFFFF"/>
        <w:spacing w:before="120" w:beforeAutospacing="0" w:after="0" w:afterAutospacing="0" w:line="276" w:lineRule="auto"/>
        <w:ind w:left="180"/>
        <w:jc w:val="both"/>
      </w:pPr>
      <w:r>
        <w:t>On altı oya karşı bir</w:t>
      </w:r>
      <w:r w:rsidR="000B28C8">
        <w:t xml:space="preserve"> oyla, Sözleşme’nin </w:t>
      </w:r>
      <w:r>
        <w:t>5. maddesinin 3</w:t>
      </w:r>
      <w:r w:rsidR="000B28C8">
        <w:t xml:space="preserve">. fıkrasının ihlal edildiğine </w:t>
      </w:r>
      <w:r w:rsidR="000B28C8" w:rsidRPr="00E33979">
        <w:rPr>
          <w:i/>
        </w:rPr>
        <w:t>karar vermiş</w:t>
      </w:r>
      <w:r w:rsidR="000B28C8">
        <w:t>;</w:t>
      </w:r>
    </w:p>
    <w:p w:rsidR="009A42E1" w:rsidRDefault="009A42E1" w:rsidP="00724F6F">
      <w:pPr>
        <w:pStyle w:val="s8042dbaf"/>
        <w:numPr>
          <w:ilvl w:val="3"/>
          <w:numId w:val="26"/>
        </w:numPr>
        <w:shd w:val="clear" w:color="auto" w:fill="FFFFFF"/>
        <w:spacing w:before="120" w:beforeAutospacing="0" w:after="0" w:afterAutospacing="0" w:line="276" w:lineRule="auto"/>
        <w:ind w:left="180"/>
        <w:jc w:val="both"/>
      </w:pPr>
      <w:r>
        <w:t xml:space="preserve">On altı oya karşı bir oyla, Sözleşme’nin 5. maddesinin 4. fıkrasının ihlal edilmediğine </w:t>
      </w:r>
      <w:r w:rsidRPr="00E33979">
        <w:rPr>
          <w:i/>
        </w:rPr>
        <w:t>karar vermiş</w:t>
      </w:r>
      <w:r>
        <w:t>;</w:t>
      </w:r>
    </w:p>
    <w:p w:rsidR="009A42E1" w:rsidRDefault="009A42E1" w:rsidP="00724F6F">
      <w:pPr>
        <w:pStyle w:val="s8042dbaf"/>
        <w:numPr>
          <w:ilvl w:val="3"/>
          <w:numId w:val="26"/>
        </w:numPr>
        <w:shd w:val="clear" w:color="auto" w:fill="FFFFFF"/>
        <w:spacing w:before="120" w:beforeAutospacing="0" w:after="0" w:afterAutospacing="0" w:line="276" w:lineRule="auto"/>
        <w:ind w:left="180"/>
        <w:jc w:val="both"/>
      </w:pPr>
      <w:r>
        <w:t>Oybirliğiyle,</w:t>
      </w:r>
      <w:r w:rsidRPr="009A42E1">
        <w:t xml:space="preserve"> </w:t>
      </w:r>
      <w:proofErr w:type="spellStart"/>
      <w:r w:rsidRPr="009A42E1">
        <w:t>Sözleşme'ye</w:t>
      </w:r>
      <w:proofErr w:type="spellEnd"/>
      <w:r w:rsidRPr="009A42E1">
        <w:t xml:space="preserve"> Ek 1 Numaralı Protokol'ün 3. maddesi</w:t>
      </w:r>
      <w:r>
        <w:t xml:space="preserve">nin ihlal edildiğine </w:t>
      </w:r>
      <w:r w:rsidRPr="009A42E1">
        <w:rPr>
          <w:i/>
        </w:rPr>
        <w:t>karar vermiş</w:t>
      </w:r>
      <w:r>
        <w:t>;</w:t>
      </w:r>
    </w:p>
    <w:p w:rsidR="009A42E1" w:rsidRDefault="009A42E1" w:rsidP="00724F6F">
      <w:pPr>
        <w:pStyle w:val="s8042dbaf"/>
        <w:numPr>
          <w:ilvl w:val="3"/>
          <w:numId w:val="26"/>
        </w:numPr>
        <w:shd w:val="clear" w:color="auto" w:fill="FFFFFF"/>
        <w:spacing w:before="120" w:beforeAutospacing="0" w:after="0" w:afterAutospacing="0" w:line="276" w:lineRule="auto"/>
        <w:ind w:left="180"/>
        <w:jc w:val="both"/>
        <w:rPr>
          <w:i/>
        </w:rPr>
      </w:pPr>
      <w:r>
        <w:t xml:space="preserve">On altı oya karşı bir oyla, Sözleşme’nin 18. maddesinin 5. madde ile bağlantılı olarak ihlal edildiğine </w:t>
      </w:r>
      <w:r>
        <w:rPr>
          <w:i/>
        </w:rPr>
        <w:t>karar vermiş;</w:t>
      </w:r>
    </w:p>
    <w:p w:rsidR="00392B14" w:rsidRPr="00392B14" w:rsidRDefault="00392B14" w:rsidP="00724F6F">
      <w:pPr>
        <w:pStyle w:val="s8042dbaf"/>
        <w:numPr>
          <w:ilvl w:val="3"/>
          <w:numId w:val="26"/>
        </w:numPr>
        <w:shd w:val="clear" w:color="auto" w:fill="FFFFFF"/>
        <w:spacing w:before="120" w:beforeAutospacing="0" w:after="0" w:afterAutospacing="0" w:line="276" w:lineRule="auto"/>
        <w:ind w:left="180"/>
        <w:jc w:val="both"/>
        <w:rPr>
          <w:i/>
        </w:rPr>
      </w:pPr>
      <w:r>
        <w:lastRenderedPageBreak/>
        <w:t xml:space="preserve">On beş oya karşı iki oyla, davalı Devlet’in başvurucunun derhal serbest bırakılması için gereken bütün önlemleri almasına </w:t>
      </w:r>
      <w:r w:rsidRPr="00392B14">
        <w:rPr>
          <w:i/>
        </w:rPr>
        <w:t>karar vermiş</w:t>
      </w:r>
      <w:r>
        <w:t>;</w:t>
      </w:r>
    </w:p>
    <w:p w:rsidR="00392B14" w:rsidRPr="00F20176" w:rsidRDefault="00F20176" w:rsidP="00724F6F">
      <w:pPr>
        <w:pStyle w:val="s8042dbaf"/>
        <w:numPr>
          <w:ilvl w:val="3"/>
          <w:numId w:val="26"/>
        </w:numPr>
        <w:shd w:val="clear" w:color="auto" w:fill="FFFFFF"/>
        <w:spacing w:before="120" w:beforeAutospacing="0" w:after="0" w:afterAutospacing="0" w:line="276" w:lineRule="auto"/>
        <w:ind w:left="180"/>
        <w:jc w:val="both"/>
        <w:rPr>
          <w:i/>
        </w:rPr>
      </w:pPr>
      <w:r>
        <w:t>On altı oya karşı bir oyla,</w:t>
      </w:r>
    </w:p>
    <w:p w:rsidR="00F20176" w:rsidRPr="004311DE" w:rsidRDefault="007A0C9C" w:rsidP="00724F6F">
      <w:pPr>
        <w:pStyle w:val="s8042dbaf"/>
        <w:numPr>
          <w:ilvl w:val="1"/>
          <w:numId w:val="27"/>
        </w:numPr>
        <w:shd w:val="clear" w:color="auto" w:fill="FFFFFF"/>
        <w:tabs>
          <w:tab w:val="left" w:pos="540"/>
        </w:tabs>
        <w:spacing w:before="0" w:beforeAutospacing="0" w:after="0" w:afterAutospacing="0" w:line="276" w:lineRule="auto"/>
        <w:ind w:left="547"/>
        <w:jc w:val="both"/>
        <w:rPr>
          <w:i/>
        </w:rPr>
      </w:pPr>
      <w:proofErr w:type="gramStart"/>
      <w:r>
        <w:t>davalı</w:t>
      </w:r>
      <w:proofErr w:type="gramEnd"/>
      <w:r>
        <w:t xml:space="preserve"> Devlet’in</w:t>
      </w:r>
      <w:r w:rsidR="009944BF">
        <w:t xml:space="preserve"> başvurucuya, üç ay içerisinde </w:t>
      </w:r>
      <w:r w:rsidR="009944BF" w:rsidRPr="009944BF">
        <w:t xml:space="preserve">izleyen meblağları ödeme tarihinde geçerli olan döviz kuru üzerinden </w:t>
      </w:r>
      <w:r w:rsidR="009944BF">
        <w:t>davalı Devlet’in</w:t>
      </w:r>
      <w:r w:rsidR="009944BF" w:rsidRPr="009944BF">
        <w:t xml:space="preserve"> ulusal para birimine çevrilmek üzere başvurana </w:t>
      </w:r>
      <w:r w:rsidR="009944BF" w:rsidRPr="003E5439">
        <w:rPr>
          <w:i/>
        </w:rPr>
        <w:t>ödemesine</w:t>
      </w:r>
      <w:r w:rsidR="004311DE">
        <w:t>:</w:t>
      </w:r>
    </w:p>
    <w:p w:rsidR="004311DE" w:rsidRPr="004D506E" w:rsidRDefault="004D506E" w:rsidP="00724F6F">
      <w:pPr>
        <w:pStyle w:val="s8042dbaf"/>
        <w:numPr>
          <w:ilvl w:val="2"/>
          <w:numId w:val="6"/>
        </w:numPr>
        <w:shd w:val="clear" w:color="auto" w:fill="FFFFFF"/>
        <w:tabs>
          <w:tab w:val="left" w:pos="720"/>
          <w:tab w:val="left" w:pos="900"/>
        </w:tabs>
        <w:spacing w:before="0" w:beforeAutospacing="0" w:after="0" w:afterAutospacing="0"/>
        <w:ind w:left="547" w:firstLine="0"/>
        <w:jc w:val="both"/>
        <w:rPr>
          <w:i/>
        </w:rPr>
      </w:pPr>
      <w:proofErr w:type="gramStart"/>
      <w:r w:rsidRPr="004D506E">
        <w:t>uygulanabilecek</w:t>
      </w:r>
      <w:proofErr w:type="gramEnd"/>
      <w:r w:rsidRPr="004D506E">
        <w:t xml:space="preserve"> her türlü vergi ile beraber </w:t>
      </w:r>
      <w:r w:rsidR="00A70815">
        <w:t xml:space="preserve">3,500 </w:t>
      </w:r>
      <w:r>
        <w:t>EUR (üç bin beş yüz Euro) maddi tazminat;</w:t>
      </w:r>
    </w:p>
    <w:p w:rsidR="004D506E" w:rsidRDefault="004D506E" w:rsidP="00724F6F">
      <w:pPr>
        <w:pStyle w:val="s8042dbaf"/>
        <w:numPr>
          <w:ilvl w:val="2"/>
          <w:numId w:val="6"/>
        </w:numPr>
        <w:shd w:val="clear" w:color="auto" w:fill="FFFFFF"/>
        <w:tabs>
          <w:tab w:val="left" w:pos="720"/>
          <w:tab w:val="left" w:pos="900"/>
        </w:tabs>
        <w:spacing w:before="0" w:beforeAutospacing="0" w:after="0" w:afterAutospacing="0"/>
        <w:ind w:left="547" w:firstLine="0"/>
        <w:jc w:val="both"/>
      </w:pPr>
      <w:proofErr w:type="gramStart"/>
      <w:r w:rsidRPr="004D506E">
        <w:t>uygulanabilecek</w:t>
      </w:r>
      <w:proofErr w:type="gramEnd"/>
      <w:r w:rsidRPr="004D506E">
        <w:t xml:space="preserve"> her türlü vergi ile beraber</w:t>
      </w:r>
      <w:r>
        <w:t xml:space="preserve"> 25,000 EUR (yirmi-beş bin Euro) manevi tazminat;</w:t>
      </w:r>
    </w:p>
    <w:p w:rsidR="004D506E" w:rsidRDefault="007F1126" w:rsidP="00724F6F">
      <w:pPr>
        <w:pStyle w:val="s8042dbaf"/>
        <w:numPr>
          <w:ilvl w:val="2"/>
          <w:numId w:val="6"/>
        </w:numPr>
        <w:shd w:val="clear" w:color="auto" w:fill="FFFFFF"/>
        <w:tabs>
          <w:tab w:val="left" w:pos="720"/>
          <w:tab w:val="left" w:pos="900"/>
        </w:tabs>
        <w:spacing w:before="0" w:beforeAutospacing="0" w:after="0" w:afterAutospacing="0"/>
        <w:ind w:left="547" w:firstLine="0"/>
        <w:jc w:val="both"/>
      </w:pPr>
      <w:r>
        <w:t xml:space="preserve"> </w:t>
      </w:r>
      <w:proofErr w:type="gramStart"/>
      <w:r w:rsidRPr="007F1126">
        <w:t>uygulanabilecek</w:t>
      </w:r>
      <w:proofErr w:type="gramEnd"/>
      <w:r w:rsidRPr="007F1126">
        <w:t xml:space="preserve"> her türlü vergi ile beraber</w:t>
      </w:r>
      <w:r>
        <w:t xml:space="preserve"> 31,900 EUR (otuz-bir bin dokuz yüz Euro) masraf ve giderler;</w:t>
      </w:r>
    </w:p>
    <w:p w:rsidR="007F1126" w:rsidRDefault="003E5439" w:rsidP="00724F6F">
      <w:pPr>
        <w:pStyle w:val="s8042dbaf"/>
        <w:numPr>
          <w:ilvl w:val="1"/>
          <w:numId w:val="27"/>
        </w:numPr>
        <w:shd w:val="clear" w:color="auto" w:fill="FFFFFF"/>
        <w:tabs>
          <w:tab w:val="left" w:pos="720"/>
          <w:tab w:val="left" w:pos="900"/>
        </w:tabs>
        <w:spacing w:before="120" w:beforeAutospacing="0" w:after="0" w:afterAutospacing="0" w:line="276" w:lineRule="auto"/>
        <w:ind w:left="540"/>
        <w:jc w:val="both"/>
      </w:pPr>
      <w:r w:rsidRPr="003E5439">
        <w:t xml:space="preserve">yukarıda belirtilen üç aylık sürenin sona erdiği tarihten itibaren ödemenin yapılmasına kadar, Avrupa Merkez Bankası’nın o dönem için geçerli olan </w:t>
      </w:r>
      <w:proofErr w:type="gramStart"/>
      <w:r w:rsidRPr="003E5439">
        <w:t>marjinal</w:t>
      </w:r>
      <w:proofErr w:type="gramEnd"/>
      <w:r w:rsidRPr="003E5439">
        <w:t xml:space="preserve"> kredi kolaylığı oranının üç puan fazlasına eşit oranda basit faiz uygulanmasına;</w:t>
      </w:r>
    </w:p>
    <w:p w:rsidR="0041465B" w:rsidRPr="004D506E" w:rsidRDefault="003E5439" w:rsidP="0041465B">
      <w:pPr>
        <w:pStyle w:val="s8042dbaf"/>
        <w:numPr>
          <w:ilvl w:val="3"/>
          <w:numId w:val="26"/>
        </w:numPr>
        <w:shd w:val="clear" w:color="auto" w:fill="FFFFFF"/>
        <w:tabs>
          <w:tab w:val="left" w:pos="720"/>
          <w:tab w:val="left" w:pos="900"/>
        </w:tabs>
        <w:spacing w:before="120" w:beforeAutospacing="0" w:after="0" w:afterAutospacing="0" w:line="276" w:lineRule="auto"/>
        <w:jc w:val="both"/>
      </w:pPr>
      <w:r>
        <w:t>Başvuranın adli tazmine</w:t>
      </w:r>
      <w:r w:rsidRPr="003E5439">
        <w:t xml:space="preserve"> ilişkin talebinin</w:t>
      </w:r>
      <w:r w:rsidR="00852406">
        <w:t xml:space="preserve"> kalan taleplerinin</w:t>
      </w:r>
      <w:r w:rsidRPr="003E5439">
        <w:t xml:space="preserve"> </w:t>
      </w:r>
      <w:r w:rsidRPr="00852406">
        <w:rPr>
          <w:i/>
        </w:rPr>
        <w:t>reddedilmesine</w:t>
      </w:r>
      <w:r w:rsidR="00852406" w:rsidRPr="00852406">
        <w:rPr>
          <w:i/>
        </w:rPr>
        <w:t xml:space="preserve"> karar vermiştir.</w:t>
      </w:r>
    </w:p>
    <w:p w:rsidR="00E33979" w:rsidRDefault="00E33979" w:rsidP="009D7096">
      <w:pPr>
        <w:pStyle w:val="s8042dbaf"/>
        <w:shd w:val="clear" w:color="auto" w:fill="FFFFFF"/>
        <w:spacing w:before="120" w:beforeAutospacing="0" w:after="0" w:afterAutospacing="0" w:line="276" w:lineRule="auto"/>
        <w:ind w:left="-270" w:firstLine="270"/>
        <w:jc w:val="both"/>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892"/>
        <w:gridCol w:w="2235"/>
      </w:tblGrid>
      <w:tr w:rsidR="0045530A" w:rsidTr="00350CA9">
        <w:trPr>
          <w:trHeight w:val="201"/>
          <w:jc w:val="center"/>
        </w:trPr>
        <w:tc>
          <w:tcPr>
            <w:tcW w:w="2447" w:type="dxa"/>
          </w:tcPr>
          <w:p w:rsidR="0045530A" w:rsidRPr="0045530A" w:rsidRDefault="0045530A" w:rsidP="00B566B9">
            <w:pPr>
              <w:pStyle w:val="s8042dbaf"/>
              <w:spacing w:before="120" w:beforeAutospacing="0" w:after="0" w:afterAutospacing="0" w:line="276" w:lineRule="auto"/>
              <w:jc w:val="center"/>
            </w:pPr>
            <w:proofErr w:type="spellStart"/>
            <w:r w:rsidRPr="0045530A">
              <w:t>Johan</w:t>
            </w:r>
            <w:proofErr w:type="spellEnd"/>
            <w:r w:rsidRPr="0045530A">
              <w:t xml:space="preserve"> </w:t>
            </w:r>
            <w:proofErr w:type="spellStart"/>
            <w:r w:rsidRPr="0045530A">
              <w:t>Callewaert</w:t>
            </w:r>
            <w:proofErr w:type="spellEnd"/>
          </w:p>
        </w:tc>
        <w:tc>
          <w:tcPr>
            <w:tcW w:w="2892" w:type="dxa"/>
            <w:vMerge w:val="restart"/>
          </w:tcPr>
          <w:p w:rsidR="0045530A" w:rsidRDefault="0045530A" w:rsidP="009D7096">
            <w:pPr>
              <w:pStyle w:val="s8042dbaf"/>
              <w:spacing w:before="120" w:beforeAutospacing="0" w:after="0" w:afterAutospacing="0" w:line="276" w:lineRule="auto"/>
              <w:jc w:val="both"/>
            </w:pPr>
          </w:p>
        </w:tc>
        <w:tc>
          <w:tcPr>
            <w:tcW w:w="2235" w:type="dxa"/>
          </w:tcPr>
          <w:p w:rsidR="0045530A" w:rsidRDefault="0045530A" w:rsidP="00B566B9">
            <w:pPr>
              <w:pStyle w:val="s8042dbaf"/>
              <w:spacing w:before="120" w:beforeAutospacing="0" w:after="0" w:afterAutospacing="0" w:line="276" w:lineRule="auto"/>
              <w:jc w:val="center"/>
            </w:pPr>
            <w:proofErr w:type="spellStart"/>
            <w:r w:rsidRPr="0045530A">
              <w:t>Ksenija</w:t>
            </w:r>
            <w:proofErr w:type="spellEnd"/>
            <w:r w:rsidRPr="0045530A">
              <w:t xml:space="preserve"> </w:t>
            </w:r>
            <w:proofErr w:type="spellStart"/>
            <w:r w:rsidRPr="0045530A">
              <w:t>Turković</w:t>
            </w:r>
            <w:proofErr w:type="spellEnd"/>
          </w:p>
        </w:tc>
      </w:tr>
      <w:tr w:rsidR="0045530A" w:rsidTr="00350CA9">
        <w:trPr>
          <w:trHeight w:val="670"/>
          <w:jc w:val="center"/>
        </w:trPr>
        <w:tc>
          <w:tcPr>
            <w:tcW w:w="2447" w:type="dxa"/>
          </w:tcPr>
          <w:p w:rsidR="0045530A" w:rsidRPr="00B566B9" w:rsidRDefault="00B566B9" w:rsidP="00B566B9">
            <w:pPr>
              <w:pStyle w:val="s8042dbaf"/>
              <w:spacing w:before="120" w:beforeAutospacing="0" w:after="0" w:afterAutospacing="0" w:line="276" w:lineRule="auto"/>
              <w:jc w:val="center"/>
            </w:pPr>
            <w:r w:rsidRPr="00B566B9">
              <w:rPr>
                <w:iCs/>
              </w:rPr>
              <w:t>Yazı İşleri Müdürü</w:t>
            </w:r>
          </w:p>
        </w:tc>
        <w:tc>
          <w:tcPr>
            <w:tcW w:w="2892" w:type="dxa"/>
            <w:vMerge/>
          </w:tcPr>
          <w:p w:rsidR="0045530A" w:rsidRDefault="0045530A" w:rsidP="009D7096">
            <w:pPr>
              <w:pStyle w:val="s8042dbaf"/>
              <w:spacing w:before="120" w:beforeAutospacing="0" w:after="0" w:afterAutospacing="0" w:line="276" w:lineRule="auto"/>
              <w:jc w:val="both"/>
            </w:pPr>
          </w:p>
        </w:tc>
        <w:tc>
          <w:tcPr>
            <w:tcW w:w="2235" w:type="dxa"/>
          </w:tcPr>
          <w:p w:rsidR="0045530A" w:rsidRDefault="00B566B9" w:rsidP="00B566B9">
            <w:pPr>
              <w:pStyle w:val="s8042dbaf"/>
              <w:spacing w:before="120" w:beforeAutospacing="0" w:after="0" w:afterAutospacing="0" w:line="276" w:lineRule="auto"/>
              <w:jc w:val="center"/>
            </w:pPr>
            <w:r>
              <w:t>Başkan</w:t>
            </w:r>
          </w:p>
        </w:tc>
      </w:tr>
      <w:tr w:rsidR="00852406" w:rsidTr="00350CA9">
        <w:trPr>
          <w:trHeight w:val="706"/>
          <w:jc w:val="center"/>
        </w:trPr>
        <w:tc>
          <w:tcPr>
            <w:tcW w:w="7574" w:type="dxa"/>
            <w:gridSpan w:val="3"/>
          </w:tcPr>
          <w:p w:rsidR="00FF17D4" w:rsidRDefault="00FF17D4" w:rsidP="009D7096">
            <w:pPr>
              <w:pStyle w:val="s8042dbaf"/>
              <w:spacing w:before="120" w:beforeAutospacing="0" w:after="0" w:afterAutospacing="0" w:line="276" w:lineRule="auto"/>
              <w:jc w:val="both"/>
            </w:pPr>
          </w:p>
          <w:p w:rsidR="00852406" w:rsidRDefault="00B566B9" w:rsidP="009D7096">
            <w:pPr>
              <w:pStyle w:val="s8042dbaf"/>
              <w:spacing w:before="120" w:beforeAutospacing="0" w:after="0" w:afterAutospacing="0" w:line="276" w:lineRule="auto"/>
              <w:jc w:val="both"/>
            </w:pPr>
            <w:r>
              <w:t>Sözleşme’nin 45. maddesinin 2. fıkrası ve Mahkeme İçtüzüğü 74. kuralın 2. fıkrası uyarınca, izleyen ayr</w:t>
            </w:r>
            <w:r w:rsidR="00FF17D4">
              <w:t>ık görüşler bu karara eklenmiştir:</w:t>
            </w:r>
          </w:p>
          <w:p w:rsidR="00FF17D4" w:rsidRDefault="00FF17D4" w:rsidP="009D7096">
            <w:pPr>
              <w:pStyle w:val="s8042dbaf"/>
              <w:spacing w:before="120" w:beforeAutospacing="0" w:after="0" w:afterAutospacing="0" w:line="276" w:lineRule="auto"/>
              <w:jc w:val="both"/>
            </w:pPr>
          </w:p>
        </w:tc>
      </w:tr>
      <w:tr w:rsidR="00852406" w:rsidTr="00350CA9">
        <w:trPr>
          <w:trHeight w:val="1129"/>
          <w:jc w:val="center"/>
        </w:trPr>
        <w:tc>
          <w:tcPr>
            <w:tcW w:w="7574" w:type="dxa"/>
            <w:gridSpan w:val="3"/>
          </w:tcPr>
          <w:p w:rsidR="00852406" w:rsidRDefault="00FF17D4" w:rsidP="00724F6F">
            <w:pPr>
              <w:pStyle w:val="s8042dbaf"/>
              <w:numPr>
                <w:ilvl w:val="0"/>
                <w:numId w:val="28"/>
              </w:numPr>
              <w:spacing w:before="0" w:beforeAutospacing="0" w:after="0" w:afterAutospacing="0"/>
              <w:jc w:val="both"/>
            </w:pPr>
            <w:r w:rsidRPr="00FF17D4">
              <w:t xml:space="preserve">Yargıç </w:t>
            </w:r>
            <w:proofErr w:type="spellStart"/>
            <w:r w:rsidRPr="00FF17D4">
              <w:t>Wo</w:t>
            </w:r>
            <w:r w:rsidR="00424D4E">
              <w:t>jtyczek'in</w:t>
            </w:r>
            <w:proofErr w:type="spellEnd"/>
            <w:r w:rsidR="00424D4E">
              <w:t xml:space="preserve"> k</w:t>
            </w:r>
            <w:r w:rsidRPr="00FF17D4">
              <w:t>ı</w:t>
            </w:r>
            <w:r w:rsidR="00FE09B0">
              <w:t xml:space="preserve">smi mutabık ve kısmi </w:t>
            </w:r>
            <w:r w:rsidR="00424D4E">
              <w:t>m</w:t>
            </w:r>
            <w:r w:rsidR="00FE09B0">
              <w:t>uhalefet</w:t>
            </w:r>
            <w:r w:rsidR="00424D4E">
              <w:t xml:space="preserve"> ş</w:t>
            </w:r>
            <w:r w:rsidRPr="00FF17D4">
              <w:t>erhi</w:t>
            </w:r>
            <w:r w:rsidR="00424D4E">
              <w:t>;</w:t>
            </w:r>
          </w:p>
          <w:p w:rsidR="00424D4E" w:rsidRDefault="00424D4E" w:rsidP="00724F6F">
            <w:pPr>
              <w:pStyle w:val="s8042dbaf"/>
              <w:numPr>
                <w:ilvl w:val="0"/>
                <w:numId w:val="28"/>
              </w:numPr>
              <w:spacing w:before="0" w:beforeAutospacing="0" w:after="0" w:afterAutospacing="0"/>
              <w:jc w:val="both"/>
            </w:pPr>
            <w:r>
              <w:t>Yargıç</w:t>
            </w:r>
            <w:r w:rsidRPr="00424D4E">
              <w:rPr>
                <w:rFonts w:ascii="TimesNewRomanPSMT" w:eastAsiaTheme="minorHAnsi" w:hAnsi="TimesNewRomanPSMT" w:cs="TimesNewRomanPSMT"/>
                <w:lang w:eastAsia="en-US"/>
              </w:rPr>
              <w:t xml:space="preserve"> </w:t>
            </w:r>
            <w:proofErr w:type="spellStart"/>
            <w:r w:rsidRPr="00424D4E">
              <w:t>Chanturia</w:t>
            </w:r>
            <w:r>
              <w:t>’</w:t>
            </w:r>
            <w:r w:rsidR="00FE09B0">
              <w:t>nın</w:t>
            </w:r>
            <w:proofErr w:type="spellEnd"/>
            <w:r w:rsidR="00FE09B0">
              <w:t xml:space="preserve"> kısmi muhalefet</w:t>
            </w:r>
            <w:r>
              <w:t xml:space="preserve"> şerhi</w:t>
            </w:r>
            <w:r w:rsidR="00FE09B0">
              <w:t>;</w:t>
            </w:r>
          </w:p>
          <w:p w:rsidR="00FE09B0" w:rsidRDefault="00FE09B0" w:rsidP="00724F6F">
            <w:pPr>
              <w:pStyle w:val="s8042dbaf"/>
              <w:numPr>
                <w:ilvl w:val="0"/>
                <w:numId w:val="28"/>
              </w:numPr>
              <w:spacing w:before="0" w:beforeAutospacing="0" w:after="0" w:afterAutospacing="0"/>
              <w:jc w:val="both"/>
            </w:pPr>
            <w:r w:rsidRPr="00FE09B0">
              <w:t>Yargı</w:t>
            </w:r>
            <w:r>
              <w:t xml:space="preserve">ç Yüksel'in Yargıç </w:t>
            </w:r>
            <w:proofErr w:type="spellStart"/>
            <w:r>
              <w:t>Paczolay'ın</w:t>
            </w:r>
            <w:proofErr w:type="spellEnd"/>
            <w:r>
              <w:t xml:space="preserve"> k</w:t>
            </w:r>
            <w:r w:rsidRPr="00FE09B0">
              <w:t xml:space="preserve">atıldığı </w:t>
            </w:r>
            <w:r>
              <w:t>kısmi muhalefet ş</w:t>
            </w:r>
            <w:r w:rsidRPr="00FE09B0">
              <w:t>erhi</w:t>
            </w:r>
            <w:r>
              <w:t>;</w:t>
            </w:r>
          </w:p>
          <w:p w:rsidR="0053400F" w:rsidRDefault="00FE09B0" w:rsidP="00724F6F">
            <w:pPr>
              <w:pStyle w:val="s8042dbaf"/>
              <w:numPr>
                <w:ilvl w:val="0"/>
                <w:numId w:val="28"/>
              </w:numPr>
              <w:spacing w:before="0" w:beforeAutospacing="0" w:after="0" w:afterAutospacing="0"/>
              <w:jc w:val="both"/>
            </w:pPr>
            <w:r w:rsidRPr="00FF17D4">
              <w:t xml:space="preserve">Yargıç </w:t>
            </w:r>
            <w:r w:rsidR="00E360A1">
              <w:t>Yüksel’in</w:t>
            </w:r>
            <w:r>
              <w:t xml:space="preserve"> k</w:t>
            </w:r>
            <w:r w:rsidRPr="00FF17D4">
              <w:t>ı</w:t>
            </w:r>
            <w:r>
              <w:t>smi mutabık ve kısmi muhalefet ş</w:t>
            </w:r>
            <w:r w:rsidRPr="00FF17D4">
              <w:t>erhi</w:t>
            </w:r>
            <w:r w:rsidR="00E360A1">
              <w:t>.</w:t>
            </w:r>
          </w:p>
        </w:tc>
      </w:tr>
    </w:tbl>
    <w:p w:rsidR="001C01BA" w:rsidRDefault="001C01BA" w:rsidP="006241B2">
      <w:pPr>
        <w:pStyle w:val="s8042dbaf"/>
        <w:shd w:val="clear" w:color="auto" w:fill="FFFFFF"/>
        <w:spacing w:before="120" w:beforeAutospacing="0" w:after="0" w:afterAutospacing="0" w:line="276" w:lineRule="auto"/>
        <w:jc w:val="both"/>
        <w:sectPr w:rsidR="001C01BA" w:rsidSect="007D6614">
          <w:pgSz w:w="11906" w:h="16838"/>
          <w:pgMar w:top="2274" w:right="2274" w:bottom="2274" w:left="2274" w:header="708" w:footer="708" w:gutter="0"/>
          <w:cols w:space="708"/>
          <w:docGrid w:linePitch="360"/>
        </w:sectPr>
      </w:pPr>
    </w:p>
    <w:p w:rsidR="00DA1D16" w:rsidRDefault="00DA1D16" w:rsidP="006556E2">
      <w:pPr>
        <w:pStyle w:val="s8042dbaf"/>
        <w:shd w:val="clear" w:color="auto" w:fill="FFFFFF"/>
        <w:spacing w:before="120" w:beforeAutospacing="0" w:after="0" w:afterAutospacing="0" w:line="276" w:lineRule="auto"/>
        <w:jc w:val="both"/>
      </w:pPr>
    </w:p>
    <w:p w:rsidR="00350CA9" w:rsidRDefault="00350CA9" w:rsidP="006556E2">
      <w:pPr>
        <w:pStyle w:val="s8042dbaf"/>
        <w:shd w:val="clear" w:color="auto" w:fill="FFFFFF"/>
        <w:spacing w:before="120" w:beforeAutospacing="0" w:after="0" w:afterAutospacing="0" w:line="276" w:lineRule="auto"/>
        <w:jc w:val="both"/>
      </w:pPr>
    </w:p>
    <w:p w:rsidR="007D6614" w:rsidRPr="007D6614" w:rsidRDefault="007D6614" w:rsidP="007D6614">
      <w:pPr>
        <w:keepNext/>
        <w:keepLines/>
        <w:spacing w:after="240" w:line="240" w:lineRule="auto"/>
        <w:outlineLvl w:val="0"/>
        <w:rPr>
          <w:rFonts w:ascii="Times New Roman" w:eastAsia="Times New Roman" w:hAnsi="Times New Roman" w:cs="Microsoft Himalaya"/>
          <w:sz w:val="28"/>
          <w:szCs w:val="24"/>
        </w:rPr>
      </w:pPr>
    </w:p>
    <w:p w:rsidR="007D6614" w:rsidRPr="007D6614" w:rsidRDefault="007D6614" w:rsidP="007D6614">
      <w:pPr>
        <w:keepNext/>
        <w:keepLines/>
        <w:spacing w:after="240" w:line="240" w:lineRule="auto"/>
        <w:jc w:val="center"/>
        <w:outlineLvl w:val="0"/>
        <w:rPr>
          <w:rFonts w:ascii="Times New Roman" w:eastAsia="Times New Roman" w:hAnsi="Times New Roman" w:cs="Microsoft Himalaya"/>
          <w:sz w:val="28"/>
          <w:szCs w:val="24"/>
        </w:rPr>
      </w:pPr>
      <w:r w:rsidRPr="007D6614">
        <w:rPr>
          <w:rFonts w:ascii="Times New Roman" w:eastAsia="Times New Roman" w:hAnsi="Times New Roman" w:cs="Microsoft Himalaya"/>
          <w:sz w:val="28"/>
          <w:szCs w:val="24"/>
        </w:rPr>
        <w:t>YARGIÇ WOJTYCZEK'İN KISMEN MUTABIK VE KISMEN MUHALEFET ŞERHİ</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\r1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1</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Meslektaşlarımın mevcut davada Sözleşme'nin 5. maddesinin 4. fıkrasının ihlal edilmediği yönündeki görüşüne saygıyla katılmıyorum. Ayrıca, kararın hüküm kısmının 14. paragrafında yer alan ifadeye ve gerekçenin belirli kısımlarına ilişkin çekincelerim var.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2</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Gerekçenin 167. paragrafında aşağıdaki görüş ifade edilmiştir: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“Mahkeme, Büyük Daire’nin önüne taşınan davanın içeriğinin ve kapsamının Daire’nin kabul edilebilirlik kararı ile sınırlı olduğunu hatırlatmıştır. (bakınız </w:t>
      </w:r>
      <w:proofErr w:type="spellStart"/>
      <w:r w:rsidRPr="007D6614">
        <w:rPr>
          <w:rFonts w:ascii="Times New Roman" w:eastAsia="Times New Roman" w:hAnsi="Times New Roman" w:cs="Microsoft Himalaya"/>
          <w:i/>
          <w:iCs/>
          <w:sz w:val="20"/>
          <w:szCs w:val="24"/>
        </w:rPr>
        <w:t>Murtazaliyeva</w:t>
      </w:r>
      <w:proofErr w:type="spellEnd"/>
      <w:r w:rsidRPr="007D6614">
        <w:rPr>
          <w:rFonts w:ascii="Times New Roman" w:eastAsia="Times New Roman" w:hAnsi="Times New Roman" w:cs="Microsoft Himalaya"/>
          <w:i/>
          <w:iCs/>
          <w:sz w:val="20"/>
          <w:szCs w:val="24"/>
        </w:rPr>
        <w:t xml:space="preserve"> v. Rusya</w:t>
      </w:r>
      <w:r w:rsidRPr="007D6614">
        <w:rPr>
          <w:rFonts w:ascii="Times New Roman" w:eastAsia="Times New Roman" w:hAnsi="Times New Roman" w:cs="Microsoft Himalaya"/>
          <w:sz w:val="20"/>
          <w:szCs w:val="24"/>
        </w:rPr>
        <w:t xml:space="preserve"> [BD], </w:t>
      </w:r>
      <w:proofErr w:type="spellStart"/>
      <w:r w:rsidRPr="007D6614">
        <w:rPr>
          <w:rFonts w:ascii="Times New Roman" w:eastAsia="Times New Roman" w:hAnsi="Times New Roman" w:cs="Microsoft Himalaya"/>
          <w:sz w:val="20"/>
          <w:szCs w:val="24"/>
        </w:rPr>
        <w:t>no</w:t>
      </w:r>
      <w:proofErr w:type="spellEnd"/>
      <w:r w:rsidRPr="007D6614">
        <w:rPr>
          <w:rFonts w:ascii="Times New Roman" w:eastAsia="Times New Roman" w:hAnsi="Times New Roman" w:cs="Microsoft Himalaya"/>
          <w:sz w:val="20"/>
          <w:szCs w:val="24"/>
        </w:rPr>
        <w:t xml:space="preserve">. 36658/05, § 88, 18 Aralık 2018) Bu sebeple Büyük Daire, daha önce kabul edilemez bulunan </w:t>
      </w:r>
      <w:r w:rsidR="00DA1D16">
        <w:rPr>
          <w:rFonts w:ascii="Times New Roman" w:eastAsia="Times New Roman" w:hAnsi="Times New Roman" w:cs="Microsoft Himalaya"/>
          <w:sz w:val="20"/>
          <w:szCs w:val="24"/>
        </w:rPr>
        <w:t>şikâyet</w:t>
      </w:r>
      <w:r w:rsidRPr="007D6614">
        <w:rPr>
          <w:rFonts w:ascii="Times New Roman" w:eastAsia="Times New Roman" w:hAnsi="Times New Roman" w:cs="Microsoft Himalaya"/>
          <w:sz w:val="20"/>
          <w:szCs w:val="24"/>
        </w:rPr>
        <w:t>leri inceleyemeyecektir.”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Sonuç olarak, Büyük Daire bu nedenle kabul edilemez ilan edilen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leri inceleyemez, ancak Daire tarafından kabul edilebilir bulunup incelenen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leri kabul edilemez ilan edebilir.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Yukarıda ifade edilen görüşün Büyük Daire'deki yerleşik uygulamayı yansıttığını kabul ediyorum (bakınız, örneğin, </w:t>
      </w:r>
      <w:r w:rsidRPr="007D6614">
        <w:rPr>
          <w:rFonts w:ascii="Times New Roman" w:eastAsia="Times New Roman" w:hAnsi="Times New Roman" w:cs="Microsoft Himalaya"/>
          <w:i/>
          <w:iCs/>
          <w:sz w:val="24"/>
          <w:szCs w:val="24"/>
        </w:rPr>
        <w:t>Al-</w:t>
      </w:r>
      <w:proofErr w:type="spellStart"/>
      <w:r w:rsidRPr="007D6614">
        <w:rPr>
          <w:rFonts w:ascii="Times New Roman" w:eastAsia="Times New Roman" w:hAnsi="Times New Roman" w:cs="Microsoft Himalaya"/>
          <w:i/>
          <w:iCs/>
          <w:sz w:val="24"/>
          <w:szCs w:val="24"/>
        </w:rPr>
        <w:t>Dulimi</w:t>
      </w:r>
      <w:proofErr w:type="spellEnd"/>
      <w:r w:rsidRPr="007D6614">
        <w:rPr>
          <w:rFonts w:ascii="Times New Roman" w:eastAsia="Times New Roman" w:hAnsi="Times New Roman" w:cs="Microsoft Himalaya"/>
          <w:i/>
          <w:iCs/>
          <w:sz w:val="24"/>
          <w:szCs w:val="24"/>
        </w:rPr>
        <w:t xml:space="preserve"> ve </w:t>
      </w:r>
      <w:proofErr w:type="spellStart"/>
      <w:r w:rsidRPr="007D6614">
        <w:rPr>
          <w:rFonts w:ascii="Times New Roman" w:eastAsia="Times New Roman" w:hAnsi="Times New Roman" w:cs="Microsoft Himalaya"/>
          <w:i/>
          <w:iCs/>
          <w:sz w:val="24"/>
          <w:szCs w:val="24"/>
        </w:rPr>
        <w:t>Montana</w:t>
      </w:r>
      <w:proofErr w:type="spellEnd"/>
      <w:r w:rsidRPr="007D6614">
        <w:rPr>
          <w:rFonts w:ascii="Times New Roman" w:eastAsia="Times New Roman" w:hAnsi="Times New Roman" w:cs="Microsoft Himalaya"/>
          <w:i/>
          <w:iCs/>
          <w:sz w:val="24"/>
          <w:szCs w:val="24"/>
        </w:rPr>
        <w:t xml:space="preserve"> Management </w:t>
      </w:r>
      <w:proofErr w:type="spellStart"/>
      <w:r w:rsidRPr="007D6614">
        <w:rPr>
          <w:rFonts w:ascii="Times New Roman" w:eastAsia="Times New Roman" w:hAnsi="Times New Roman" w:cs="Microsoft Himalaya"/>
          <w:i/>
          <w:iCs/>
          <w:sz w:val="24"/>
          <w:szCs w:val="24"/>
        </w:rPr>
        <w:t>Inc</w:t>
      </w:r>
      <w:proofErr w:type="spellEnd"/>
      <w:r w:rsidRPr="007D6614">
        <w:rPr>
          <w:rFonts w:ascii="Times New Roman" w:eastAsia="Times New Roman" w:hAnsi="Times New Roman" w:cs="Microsoft Himalaya"/>
          <w:i/>
          <w:iCs/>
          <w:sz w:val="24"/>
          <w:szCs w:val="24"/>
        </w:rPr>
        <w:t xml:space="preserve">. </w:t>
      </w:r>
      <w:proofErr w:type="gramStart"/>
      <w:r w:rsidRPr="007D6614">
        <w:rPr>
          <w:rFonts w:ascii="Times New Roman" w:eastAsia="Times New Roman" w:hAnsi="Times New Roman" w:cs="Microsoft Himalaya"/>
          <w:i/>
          <w:iCs/>
          <w:sz w:val="24"/>
          <w:szCs w:val="24"/>
        </w:rPr>
        <w:t>v</w:t>
      </w:r>
      <w:proofErr w:type="gramEnd"/>
      <w:r w:rsidRPr="007D6614">
        <w:rPr>
          <w:rFonts w:ascii="Times New Roman" w:eastAsia="Times New Roman" w:hAnsi="Times New Roman" w:cs="Microsoft Himalaya"/>
          <w:i/>
          <w:iCs/>
          <w:sz w:val="24"/>
          <w:szCs w:val="24"/>
        </w:rPr>
        <w:t>. İsviçre</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5809/08, § 78, 21 Haziran 2016; </w:t>
      </w:r>
      <w:proofErr w:type="spellStart"/>
      <w:r w:rsidRPr="007D6614">
        <w:rPr>
          <w:rFonts w:ascii="Times New Roman" w:eastAsia="Times New Roman" w:hAnsi="Times New Roman" w:cs="Microsoft Himalaya"/>
          <w:i/>
          <w:iCs/>
          <w:sz w:val="24"/>
          <w:szCs w:val="24"/>
        </w:rPr>
        <w:t>Neulinger</w:t>
      </w:r>
      <w:proofErr w:type="spellEnd"/>
      <w:r w:rsidRPr="007D6614">
        <w:rPr>
          <w:rFonts w:ascii="Times New Roman" w:eastAsia="Times New Roman" w:hAnsi="Times New Roman" w:cs="Microsoft Himalaya"/>
          <w:i/>
          <w:iCs/>
          <w:sz w:val="24"/>
          <w:szCs w:val="24"/>
        </w:rPr>
        <w:t xml:space="preserve"> ve </w:t>
      </w:r>
      <w:proofErr w:type="spellStart"/>
      <w:r w:rsidRPr="007D6614">
        <w:rPr>
          <w:rFonts w:ascii="Times New Roman" w:eastAsia="Times New Roman" w:hAnsi="Times New Roman" w:cs="Microsoft Himalaya"/>
          <w:i/>
          <w:iCs/>
          <w:sz w:val="24"/>
          <w:szCs w:val="24"/>
        </w:rPr>
        <w:t>Shuruk</w:t>
      </w:r>
      <w:proofErr w:type="spellEnd"/>
      <w:r w:rsidRPr="007D6614">
        <w:rPr>
          <w:rFonts w:ascii="Times New Roman" w:eastAsia="Times New Roman" w:hAnsi="Times New Roman" w:cs="Microsoft Himalaya"/>
          <w:i/>
          <w:iCs/>
          <w:sz w:val="24"/>
          <w:szCs w:val="24"/>
        </w:rPr>
        <w:t xml:space="preserve"> v. İsviçre</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41615/07, § 88, ECHR 2010; ve </w:t>
      </w:r>
      <w:r w:rsidRPr="007D6614">
        <w:rPr>
          <w:rFonts w:ascii="Times New Roman" w:eastAsia="Times New Roman" w:hAnsi="Times New Roman" w:cs="Microsoft Himalaya"/>
          <w:i/>
          <w:iCs/>
          <w:sz w:val="24"/>
          <w:szCs w:val="24"/>
        </w:rPr>
        <w:t>Göç v. Türkiye</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36590/97, §§ 36-37, ECHR 2002-V) ancak bu uygulamanın Sözleşme ile uyumlu olduğuna ikna olmadım. Burada kendimize Sözleşme'nin ilgili hükmünün lafzını hatırlatmak önemlidir (vurgu eklendi):</w:t>
      </w:r>
    </w:p>
    <w:p w:rsidR="007D6614" w:rsidRPr="007D6614" w:rsidRDefault="007D6614" w:rsidP="007D6614">
      <w:pPr>
        <w:spacing w:before="120" w:after="120" w:line="240" w:lineRule="auto"/>
        <w:ind w:left="425" w:firstLine="142"/>
        <w:jc w:val="center"/>
        <w:rPr>
          <w:rFonts w:ascii="Times New Roman" w:eastAsia="Times New Roman" w:hAnsi="Times New Roman" w:cs="Microsoft Himalaya"/>
          <w:b/>
          <w:bCs/>
          <w:sz w:val="20"/>
          <w:szCs w:val="24"/>
        </w:rPr>
      </w:pPr>
      <w:r w:rsidRPr="007D6614">
        <w:rPr>
          <w:rFonts w:ascii="Times New Roman" w:eastAsia="Times New Roman" w:hAnsi="Times New Roman" w:cs="Microsoft Himalaya"/>
          <w:b/>
          <w:bCs/>
          <w:sz w:val="20"/>
          <w:szCs w:val="24"/>
        </w:rPr>
        <w:t>Madde 43</w:t>
      </w:r>
    </w:p>
    <w:p w:rsidR="007D6614" w:rsidRPr="007D6614" w:rsidRDefault="007D6614" w:rsidP="007D6614">
      <w:pPr>
        <w:spacing w:before="120" w:after="120" w:line="240" w:lineRule="auto"/>
        <w:ind w:left="425" w:firstLine="142"/>
        <w:jc w:val="center"/>
        <w:rPr>
          <w:rFonts w:ascii="Times New Roman" w:eastAsia="Times New Roman" w:hAnsi="Times New Roman" w:cs="Microsoft Himalaya"/>
          <w:b/>
          <w:bCs/>
          <w:sz w:val="20"/>
          <w:szCs w:val="24"/>
        </w:rPr>
      </w:pPr>
      <w:proofErr w:type="spellStart"/>
      <w:r w:rsidRPr="007D6614">
        <w:rPr>
          <w:rFonts w:ascii="Times New Roman" w:eastAsia="Times New Roman" w:hAnsi="Times New Roman" w:cs="Microsoft Himalaya"/>
          <w:b/>
          <w:bCs/>
          <w:sz w:val="20"/>
          <w:szCs w:val="24"/>
        </w:rPr>
        <w:t>Büyük</w:t>
      </w:r>
      <w:proofErr w:type="spellEnd"/>
      <w:r w:rsidRPr="007D6614">
        <w:rPr>
          <w:rFonts w:ascii="Times New Roman" w:eastAsia="Times New Roman" w:hAnsi="Times New Roman" w:cs="Microsoft Himalaya"/>
          <w:b/>
          <w:bCs/>
          <w:sz w:val="20"/>
          <w:szCs w:val="24"/>
        </w:rPr>
        <w:t xml:space="preserve"> Daire’ye </w:t>
      </w:r>
      <w:proofErr w:type="spellStart"/>
      <w:r w:rsidRPr="007D6614">
        <w:rPr>
          <w:rFonts w:ascii="Times New Roman" w:eastAsia="Times New Roman" w:hAnsi="Times New Roman" w:cs="Microsoft Himalaya"/>
          <w:b/>
          <w:bCs/>
          <w:sz w:val="20"/>
          <w:szCs w:val="24"/>
        </w:rPr>
        <w:t>gönderme</w:t>
      </w:r>
      <w:proofErr w:type="spellEnd"/>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“1. Bir Daire kararının </w:t>
      </w:r>
      <w:proofErr w:type="spellStart"/>
      <w:r w:rsidRPr="007D6614">
        <w:rPr>
          <w:rFonts w:ascii="Times New Roman" w:eastAsia="Times New Roman" w:hAnsi="Times New Roman" w:cs="Microsoft Himalaya"/>
          <w:sz w:val="20"/>
          <w:szCs w:val="24"/>
        </w:rPr>
        <w:t>verildiği</w:t>
      </w:r>
      <w:proofErr w:type="spellEnd"/>
      <w:r w:rsidRPr="007D6614">
        <w:rPr>
          <w:rFonts w:ascii="Times New Roman" w:eastAsia="Times New Roman" w:hAnsi="Times New Roman" w:cs="Microsoft Himalaya"/>
          <w:sz w:val="20"/>
          <w:szCs w:val="24"/>
        </w:rPr>
        <w:t xml:space="preserve"> tarihten itibaren </w:t>
      </w:r>
      <w:proofErr w:type="spellStart"/>
      <w:r w:rsidRPr="007D6614">
        <w:rPr>
          <w:rFonts w:ascii="Times New Roman" w:eastAsia="Times New Roman" w:hAnsi="Times New Roman" w:cs="Microsoft Himalaya"/>
          <w:sz w:val="20"/>
          <w:szCs w:val="24"/>
        </w:rPr>
        <w:t>üc</w:t>
      </w:r>
      <w:proofErr w:type="spellEnd"/>
      <w:r w:rsidRPr="007D6614">
        <w:rPr>
          <w:rFonts w:ascii="Times New Roman" w:eastAsia="Times New Roman" w:hAnsi="Times New Roman" w:cs="Microsoft Himalaya"/>
          <w:sz w:val="20"/>
          <w:szCs w:val="24"/>
        </w:rPr>
        <w:t xml:space="preserve">̧ ay </w:t>
      </w:r>
      <w:proofErr w:type="spellStart"/>
      <w:r w:rsidRPr="007D6614">
        <w:rPr>
          <w:rFonts w:ascii="Times New Roman" w:eastAsia="Times New Roman" w:hAnsi="Times New Roman" w:cs="Microsoft Himalaya"/>
          <w:sz w:val="20"/>
          <w:szCs w:val="24"/>
        </w:rPr>
        <w:t>içinde</w:t>
      </w:r>
      <w:proofErr w:type="spellEnd"/>
      <w:r w:rsidRPr="007D6614">
        <w:rPr>
          <w:rFonts w:ascii="Times New Roman" w:eastAsia="Times New Roman" w:hAnsi="Times New Roman" w:cs="Microsoft Himalaya"/>
          <w:sz w:val="20"/>
          <w:szCs w:val="24"/>
        </w:rPr>
        <w:t xml:space="preserve"> ve istisnai durumlarda, dava taraflarından her biri </w:t>
      </w:r>
      <w:r w:rsidRPr="007D6614">
        <w:rPr>
          <w:rFonts w:ascii="Times New Roman" w:eastAsia="Times New Roman" w:hAnsi="Times New Roman" w:cs="Microsoft Himalaya"/>
          <w:b/>
          <w:bCs/>
          <w:sz w:val="20"/>
          <w:szCs w:val="24"/>
        </w:rPr>
        <w:t>davanın</w:t>
      </w:r>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Büyük</w:t>
      </w:r>
      <w:proofErr w:type="spellEnd"/>
      <w:r w:rsidRPr="007D6614">
        <w:rPr>
          <w:rFonts w:ascii="Times New Roman" w:eastAsia="Times New Roman" w:hAnsi="Times New Roman" w:cs="Microsoft Himalaya"/>
          <w:sz w:val="20"/>
          <w:szCs w:val="24"/>
        </w:rPr>
        <w:t xml:space="preserve"> Daire’ye </w:t>
      </w:r>
      <w:proofErr w:type="spellStart"/>
      <w:r w:rsidRPr="007D6614">
        <w:rPr>
          <w:rFonts w:ascii="Times New Roman" w:eastAsia="Times New Roman" w:hAnsi="Times New Roman" w:cs="Microsoft Himalaya"/>
          <w:sz w:val="20"/>
          <w:szCs w:val="24"/>
        </w:rPr>
        <w:t>gönderilmesini</w:t>
      </w:r>
      <w:proofErr w:type="spellEnd"/>
      <w:r w:rsidRPr="007D6614">
        <w:rPr>
          <w:rFonts w:ascii="Times New Roman" w:eastAsia="Times New Roman" w:hAnsi="Times New Roman" w:cs="Microsoft Himalaya"/>
          <w:sz w:val="20"/>
          <w:szCs w:val="24"/>
        </w:rPr>
        <w:t xml:space="preserve"> isteyebilir.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2. </w:t>
      </w:r>
      <w:proofErr w:type="spellStart"/>
      <w:r w:rsidRPr="007D6614">
        <w:rPr>
          <w:rFonts w:ascii="Times New Roman" w:eastAsia="Times New Roman" w:hAnsi="Times New Roman" w:cs="Microsoft Himalaya"/>
          <w:sz w:val="20"/>
          <w:szCs w:val="24"/>
        </w:rPr>
        <w:t>Büyük</w:t>
      </w:r>
      <w:proofErr w:type="spellEnd"/>
      <w:r w:rsidRPr="007D6614">
        <w:rPr>
          <w:rFonts w:ascii="Times New Roman" w:eastAsia="Times New Roman" w:hAnsi="Times New Roman" w:cs="Microsoft Himalaya"/>
          <w:sz w:val="20"/>
          <w:szCs w:val="24"/>
        </w:rPr>
        <w:t xml:space="preserve"> Daire </w:t>
      </w:r>
      <w:proofErr w:type="spellStart"/>
      <w:r w:rsidRPr="007D6614">
        <w:rPr>
          <w:rFonts w:ascii="Times New Roman" w:eastAsia="Times New Roman" w:hAnsi="Times New Roman" w:cs="Microsoft Himalaya"/>
          <w:sz w:val="20"/>
          <w:szCs w:val="24"/>
        </w:rPr>
        <w:t>bünyesinde</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bes</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yargıçtan</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oluşan</w:t>
      </w:r>
      <w:proofErr w:type="spellEnd"/>
      <w:r w:rsidRPr="007D6614">
        <w:rPr>
          <w:rFonts w:ascii="Times New Roman" w:eastAsia="Times New Roman" w:hAnsi="Times New Roman" w:cs="Microsoft Himalaya"/>
          <w:sz w:val="20"/>
          <w:szCs w:val="24"/>
        </w:rPr>
        <w:t xml:space="preserve"> bir kurul istemi, </w:t>
      </w:r>
      <w:proofErr w:type="spellStart"/>
      <w:r w:rsidRPr="007D6614">
        <w:rPr>
          <w:rFonts w:ascii="Times New Roman" w:eastAsia="Times New Roman" w:hAnsi="Times New Roman" w:cs="Microsoft Himalaya"/>
          <w:sz w:val="20"/>
          <w:szCs w:val="24"/>
        </w:rPr>
        <w:t>eğer</w:t>
      </w:r>
      <w:proofErr w:type="spellEnd"/>
      <w:r w:rsidRPr="007D6614">
        <w:rPr>
          <w:rFonts w:ascii="Times New Roman" w:eastAsia="Times New Roman" w:hAnsi="Times New Roman" w:cs="Microsoft Himalaya"/>
          <w:sz w:val="20"/>
          <w:szCs w:val="24"/>
        </w:rPr>
        <w:t xml:space="preserve"> </w:t>
      </w:r>
      <w:r w:rsidRPr="007D6614">
        <w:rPr>
          <w:rFonts w:ascii="Times New Roman" w:eastAsia="Times New Roman" w:hAnsi="Times New Roman" w:cs="Microsoft Himalaya"/>
          <w:b/>
          <w:bCs/>
          <w:sz w:val="20"/>
          <w:szCs w:val="24"/>
        </w:rPr>
        <w:t>davada</w:t>
      </w:r>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Sözleşme</w:t>
      </w:r>
      <w:proofErr w:type="spellEnd"/>
      <w:r w:rsidRPr="007D6614">
        <w:rPr>
          <w:rFonts w:ascii="Times New Roman" w:eastAsia="Times New Roman" w:hAnsi="Times New Roman" w:cs="Microsoft Himalaya"/>
          <w:sz w:val="20"/>
          <w:szCs w:val="24"/>
        </w:rPr>
        <w:t xml:space="preserve"> ve Protokollerinin yorumuna ya da uygulanmasına </w:t>
      </w:r>
      <w:proofErr w:type="spellStart"/>
      <w:r w:rsidRPr="007D6614">
        <w:rPr>
          <w:rFonts w:ascii="Times New Roman" w:eastAsia="Times New Roman" w:hAnsi="Times New Roman" w:cs="Microsoft Himalaya"/>
          <w:sz w:val="20"/>
          <w:szCs w:val="24"/>
        </w:rPr>
        <w:t>ilişkin</w:t>
      </w:r>
      <w:proofErr w:type="spellEnd"/>
      <w:r w:rsidRPr="007D6614">
        <w:rPr>
          <w:rFonts w:ascii="Times New Roman" w:eastAsia="Times New Roman" w:hAnsi="Times New Roman" w:cs="Microsoft Himalaya"/>
          <w:sz w:val="20"/>
          <w:szCs w:val="24"/>
        </w:rPr>
        <w:t xml:space="preserve"> ya da genel nitelikte ciddi bir sorun varsa, kabul eder.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3. Kurul istemi kabul ederse, </w:t>
      </w:r>
      <w:proofErr w:type="spellStart"/>
      <w:r w:rsidRPr="007D6614">
        <w:rPr>
          <w:rFonts w:ascii="Times New Roman" w:eastAsia="Times New Roman" w:hAnsi="Times New Roman" w:cs="Microsoft Himalaya"/>
          <w:sz w:val="20"/>
          <w:szCs w:val="24"/>
        </w:rPr>
        <w:t>Büyük</w:t>
      </w:r>
      <w:proofErr w:type="spellEnd"/>
      <w:r w:rsidRPr="007D6614">
        <w:rPr>
          <w:rFonts w:ascii="Times New Roman" w:eastAsia="Times New Roman" w:hAnsi="Times New Roman" w:cs="Microsoft Himalaya"/>
          <w:sz w:val="20"/>
          <w:szCs w:val="24"/>
        </w:rPr>
        <w:t xml:space="preserve"> Daire </w:t>
      </w:r>
      <w:r w:rsidRPr="007D6614">
        <w:rPr>
          <w:rFonts w:ascii="Times New Roman" w:eastAsia="Times New Roman" w:hAnsi="Times New Roman" w:cs="Microsoft Himalaya"/>
          <w:b/>
          <w:bCs/>
          <w:sz w:val="20"/>
          <w:szCs w:val="24"/>
        </w:rPr>
        <w:t xml:space="preserve">davayı </w:t>
      </w:r>
      <w:r w:rsidRPr="007D6614">
        <w:rPr>
          <w:rFonts w:ascii="Times New Roman" w:eastAsia="Times New Roman" w:hAnsi="Times New Roman" w:cs="Microsoft Himalaya"/>
          <w:sz w:val="20"/>
          <w:szCs w:val="24"/>
        </w:rPr>
        <w:t xml:space="preserve">karara </w:t>
      </w:r>
      <w:proofErr w:type="spellStart"/>
      <w:r w:rsidRPr="007D6614">
        <w:rPr>
          <w:rFonts w:ascii="Times New Roman" w:eastAsia="Times New Roman" w:hAnsi="Times New Roman" w:cs="Microsoft Himalaya"/>
          <w:sz w:val="20"/>
          <w:szCs w:val="24"/>
        </w:rPr>
        <w:t>bağlar</w:t>
      </w:r>
      <w:proofErr w:type="spellEnd"/>
      <w:r w:rsidRPr="007D6614">
        <w:rPr>
          <w:rFonts w:ascii="Times New Roman" w:eastAsia="Times New Roman" w:hAnsi="Times New Roman" w:cs="Microsoft Himalaya"/>
          <w:sz w:val="20"/>
          <w:szCs w:val="24"/>
        </w:rPr>
        <w:t>.”</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Mahkeme, bu hükmü yorumlarken haklı olarak aşağıdaki görüşleri ifade etmiştir (bakınız </w:t>
      </w:r>
      <w:r w:rsidRPr="007D6614">
        <w:rPr>
          <w:rFonts w:ascii="Times New Roman" w:eastAsia="Times New Roman" w:hAnsi="Times New Roman" w:cs="Microsoft Himalaya"/>
          <w:i/>
          <w:iCs/>
          <w:sz w:val="24"/>
          <w:szCs w:val="24"/>
        </w:rPr>
        <w:t>K. ve T. v. Finlandiya</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25702/94, § 140, ECHR 2001-VII):</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lastRenderedPageBreak/>
        <w:t>“Mahkeme öncelikle, 43. maddenin üç paragrafının da Büyük Daire önüne getirilen meseleyi açıklamak için 'dava' ('</w:t>
      </w:r>
      <w:proofErr w:type="spellStart"/>
      <w:r w:rsidRPr="007D6614">
        <w:rPr>
          <w:rFonts w:ascii="Times New Roman" w:eastAsia="Times New Roman" w:hAnsi="Times New Roman" w:cs="Microsoft Himalaya"/>
          <w:sz w:val="20"/>
          <w:szCs w:val="24"/>
        </w:rPr>
        <w:t>l'affaire</w:t>
      </w:r>
      <w:proofErr w:type="spellEnd"/>
      <w:r w:rsidRPr="007D6614">
        <w:rPr>
          <w:rFonts w:ascii="Times New Roman" w:eastAsia="Times New Roman" w:hAnsi="Times New Roman" w:cs="Microsoft Himalaya"/>
          <w:sz w:val="20"/>
          <w:szCs w:val="24"/>
        </w:rPr>
        <w:t xml:space="preserve">') terimini kullandığına dikkat çekecektir. Özellikle 43. maddenin 3. fıkrası, Büyük Daire'nin bir yargılama yoluyla 'davaya karar vermesi' - yani tüm dava olduğunu ve sadece 2. paragrafta bahsedilen 'ciddi sorun' veya 'ciddi mesele' olmadığını- belirtir. </w:t>
      </w:r>
      <w:proofErr w:type="gramStart"/>
      <w:r w:rsidRPr="007D6614">
        <w:rPr>
          <w:rFonts w:ascii="Times New Roman" w:eastAsia="Times New Roman" w:hAnsi="Times New Roman" w:cs="Microsoft Himalaya"/>
          <w:sz w:val="20"/>
          <w:szCs w:val="24"/>
        </w:rPr>
        <w:t xml:space="preserve">43.maddenin ifadesi şunu açıkça ortaya koymaktadır: ‘Sözleşmenin veya Protokollerin yorumlanmasını veya uygulanmasını etkileyen ciddi bir sorunun veya genel öneme sahip ciddi bir sorunun’ (paragraf 2) varlığı, bir tarafın talebini kabul etmek için bir ön şart iken, kabulün sonucu, tüm 'davanın', yeni bir kararla (paragraf 3) yeniden karara bağlanmak üzere Büyük Daire'ye gönderilmesidir. </w:t>
      </w:r>
      <w:proofErr w:type="gramEnd"/>
      <w:r w:rsidRPr="007D6614">
        <w:rPr>
          <w:rFonts w:ascii="Times New Roman" w:eastAsia="Times New Roman" w:hAnsi="Times New Roman" w:cs="Microsoft Himalaya"/>
          <w:sz w:val="20"/>
          <w:szCs w:val="24"/>
        </w:rPr>
        <w:t>Aynı "dava" ("</w:t>
      </w:r>
      <w:proofErr w:type="spellStart"/>
      <w:r w:rsidRPr="007D6614">
        <w:rPr>
          <w:rFonts w:ascii="Times New Roman" w:eastAsia="Times New Roman" w:hAnsi="Times New Roman" w:cs="Microsoft Himalaya"/>
          <w:sz w:val="20"/>
          <w:szCs w:val="24"/>
        </w:rPr>
        <w:t>l'affaire</w:t>
      </w:r>
      <w:proofErr w:type="spellEnd"/>
      <w:r w:rsidRPr="007D6614">
        <w:rPr>
          <w:rFonts w:ascii="Times New Roman" w:eastAsia="Times New Roman" w:hAnsi="Times New Roman" w:cs="Microsoft Himalaya"/>
          <w:sz w:val="20"/>
          <w:szCs w:val="24"/>
        </w:rPr>
        <w:t>") terimi, bir Daire’nin kararlarının nihai hale geldiği koşulları tanımlayan Madde 44 § 2'de de kullanılmaktadır. Bir tarafın 43. madde uyarınca bir başvuru talebi kabul edilmişse, 44. madde ancak 43. maddenin 3. fıkrasında öngörülen Büyük Daire'nin yeni kararıyla değiştirilmek üzere Daire'nin tüm kararının iptal edileceği anlamına gelecek şekilde anlaşılabilir. Durum böyleyken, Büyük Daire'ye havale edilen 'dava', sadece başvurunun temelinde yatan ciddi 'soru' veya 'meseleyi' değil, Daire tarafından daha önce kendi kararında incelenen başvurunun tüm yönlerini zorunlu olarak kapsamaktadır. Özetle, davanın Büyük Daire'ye sadece kısmen havale edilmesi için bir dayanak yoktur."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Mahkeme aynı kararda (</w:t>
      </w:r>
      <w:proofErr w:type="spellStart"/>
      <w:r w:rsidRPr="007D6614">
        <w:rPr>
          <w:rFonts w:ascii="Times New Roman" w:eastAsia="Times New Roman" w:hAnsi="Times New Roman" w:cs="Microsoft Himalaya"/>
          <w:sz w:val="24"/>
          <w:szCs w:val="24"/>
        </w:rPr>
        <w:t>a.g</w:t>
      </w:r>
      <w:proofErr w:type="spellEnd"/>
      <w:proofErr w:type="gramStart"/>
      <w:r w:rsidRPr="007D6614">
        <w:rPr>
          <w:rFonts w:ascii="Times New Roman" w:eastAsia="Times New Roman" w:hAnsi="Times New Roman" w:cs="Microsoft Himalaya"/>
          <w:sz w:val="24"/>
          <w:szCs w:val="24"/>
        </w:rPr>
        <w:t>.,</w:t>
      </w:r>
      <w:proofErr w:type="gramEnd"/>
      <w:r w:rsidRPr="007D6614">
        <w:rPr>
          <w:rFonts w:ascii="Times New Roman" w:eastAsia="Times New Roman" w:hAnsi="Times New Roman" w:cs="Microsoft Himalaya"/>
          <w:sz w:val="24"/>
          <w:szCs w:val="24"/>
        </w:rPr>
        <w:t xml:space="preserve"> § 141) aşağıdaki ifadeyi eklemiştir: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"Mahkeme, açıklığa kavuşturmak adına, Büyük Daire'ye gönderilen 'davanın' kabul edilebilir olduğuna karar verildiği için başvuru olduğunu ekleyecektir (bakınız kıyasen, </w:t>
      </w:r>
      <w:r w:rsidRPr="007D6614">
        <w:rPr>
          <w:rFonts w:ascii="Times New Roman" w:eastAsia="Times New Roman" w:hAnsi="Times New Roman" w:cs="Microsoft Himalaya"/>
          <w:i/>
          <w:iCs/>
          <w:sz w:val="20"/>
          <w:szCs w:val="24"/>
        </w:rPr>
        <w:t>İrlanda v. Birleşik Krallık</w:t>
      </w:r>
      <w:r w:rsidRPr="007D6614">
        <w:rPr>
          <w:rFonts w:ascii="Times New Roman" w:eastAsia="Times New Roman" w:hAnsi="Times New Roman" w:cs="Microsoft Himalaya"/>
          <w:sz w:val="20"/>
          <w:szCs w:val="24"/>
        </w:rPr>
        <w:t xml:space="preserve">, 18 Ocak 1978 tarihli karar, Series A </w:t>
      </w:r>
      <w:proofErr w:type="spellStart"/>
      <w:r w:rsidRPr="007D6614">
        <w:rPr>
          <w:rFonts w:ascii="Times New Roman" w:eastAsia="Times New Roman" w:hAnsi="Times New Roman" w:cs="Microsoft Himalaya"/>
          <w:sz w:val="20"/>
          <w:szCs w:val="24"/>
        </w:rPr>
        <w:t>no</w:t>
      </w:r>
      <w:proofErr w:type="spellEnd"/>
      <w:r w:rsidRPr="007D6614">
        <w:rPr>
          <w:rFonts w:ascii="Times New Roman" w:eastAsia="Times New Roman" w:hAnsi="Times New Roman" w:cs="Microsoft Himalaya"/>
          <w:sz w:val="20"/>
          <w:szCs w:val="24"/>
        </w:rPr>
        <w:t xml:space="preserve">. 25, sayfa 63, § 157). Bununla birlikte, bu, Büyük Daire'nin, uygun olduğu durumlarda, başvurunun kabul edilebilirliğine ilişkin konuları, normal Daire yargılamalarında mümkün olduğu şekilde, örneğin 35. maddenin 4. fıkrasına dayanarak (Mahkemeye "yargılamanın herhangi bir </w:t>
      </w:r>
      <w:proofErr w:type="gramStart"/>
      <w:r w:rsidRPr="007D6614">
        <w:rPr>
          <w:rFonts w:ascii="Times New Roman" w:eastAsia="Times New Roman" w:hAnsi="Times New Roman" w:cs="Microsoft Himalaya"/>
          <w:sz w:val="20"/>
          <w:szCs w:val="24"/>
        </w:rPr>
        <w:t>aşamasında ...</w:t>
      </w:r>
      <w:proofErr w:type="gramEnd"/>
      <w:r w:rsidRPr="007D6614">
        <w:rPr>
          <w:rFonts w:ascii="Times New Roman" w:eastAsia="Times New Roman" w:hAnsi="Times New Roman" w:cs="Microsoft Himalaya"/>
          <w:sz w:val="20"/>
          <w:szCs w:val="24"/>
        </w:rPr>
        <w:t xml:space="preserve"> </w:t>
      </w:r>
      <w:proofErr w:type="gramStart"/>
      <w:r w:rsidRPr="007D6614">
        <w:rPr>
          <w:rFonts w:ascii="Times New Roman" w:eastAsia="Times New Roman" w:hAnsi="Times New Roman" w:cs="Microsoft Himalaya"/>
          <w:sz w:val="20"/>
          <w:szCs w:val="24"/>
        </w:rPr>
        <w:t>kabul</w:t>
      </w:r>
      <w:proofErr w:type="gramEnd"/>
      <w:r w:rsidRPr="007D6614">
        <w:rPr>
          <w:rFonts w:ascii="Times New Roman" w:eastAsia="Times New Roman" w:hAnsi="Times New Roman" w:cs="Microsoft Himalaya"/>
          <w:sz w:val="20"/>
          <w:szCs w:val="24"/>
        </w:rPr>
        <w:t xml:space="preserve"> edilemez bulduğu herhangi bir başvuruyu reddetme" yetkisi verir) veya Sözleşmenin para cezası veya bu tür meselelerin esasla birleştirildiği veya esasa ilişkin başka bir şekilde ilgili olduğu durumlarda inceleyemeyeceği anlamına gelmez. "</w:t>
      </w:r>
    </w:p>
    <w:p w:rsidR="007D6614" w:rsidRPr="007D6614" w:rsidRDefault="007D6614" w:rsidP="007D6614">
      <w:pPr>
        <w:spacing w:after="0" w:line="240" w:lineRule="auto"/>
        <w:jc w:val="both"/>
        <w:rPr>
          <w:rFonts w:ascii="Times New Roman" w:eastAsia="Times New Roman" w:hAnsi="Times New Roman" w:cs="Microsoft Himalaya"/>
          <w:color w:val="FF0000"/>
          <w:sz w:val="20"/>
          <w:szCs w:val="24"/>
        </w:rPr>
      </w:pPr>
    </w:p>
    <w:p w:rsidR="007D6614" w:rsidRPr="007D6614" w:rsidRDefault="007D6614" w:rsidP="007D6614">
      <w:pPr>
        <w:spacing w:after="0" w:line="240" w:lineRule="auto"/>
        <w:ind w:left="284"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Yukarıda alıntılanan açıklamayı kabul etmek zordur. Burada kullanılan temel </w:t>
      </w:r>
      <w:proofErr w:type="gramStart"/>
      <w:r w:rsidRPr="007D6614">
        <w:rPr>
          <w:rFonts w:ascii="Times New Roman" w:eastAsia="Times New Roman" w:hAnsi="Times New Roman" w:cs="Microsoft Himalaya"/>
          <w:sz w:val="24"/>
          <w:szCs w:val="24"/>
        </w:rPr>
        <w:t>argüman</w:t>
      </w:r>
      <w:proofErr w:type="gramEnd"/>
      <w:r w:rsidRPr="007D6614">
        <w:rPr>
          <w:rFonts w:ascii="Times New Roman" w:eastAsia="Times New Roman" w:hAnsi="Times New Roman" w:cs="Microsoft Himalaya"/>
          <w:sz w:val="24"/>
          <w:szCs w:val="24"/>
        </w:rPr>
        <w:t>, 1998 tarihli 11 Numaralı Protokol’ün yürürlüğe girmesinden önce Komisyon ve Mahkeme önündeki yargılamalardaki uygulamadır, oysa bu reform, tüm sistemi tamamen yeniden şekillendirmiştir.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Benim görüşüme göre, bir tarafın 43. madde uyarınca sunduğu talep </w:t>
      </w:r>
      <w:r w:rsidRPr="007D6614">
        <w:rPr>
          <w:rFonts w:ascii="Times New Roman" w:eastAsia="Times New Roman" w:hAnsi="Times New Roman" w:cs="Microsoft Himalaya"/>
          <w:i/>
          <w:iCs/>
          <w:sz w:val="24"/>
          <w:szCs w:val="24"/>
        </w:rPr>
        <w:t>davayla</w:t>
      </w:r>
      <w:r w:rsidRPr="007D6614">
        <w:rPr>
          <w:rFonts w:ascii="Times New Roman" w:eastAsia="Times New Roman" w:hAnsi="Times New Roman" w:cs="Microsoft Himalaya"/>
          <w:sz w:val="24"/>
          <w:szCs w:val="24"/>
        </w:rPr>
        <w:t xml:space="preserve"> ilgilidir. Ardından </w:t>
      </w:r>
      <w:r w:rsidRPr="007D6614">
        <w:rPr>
          <w:rFonts w:ascii="Times New Roman" w:eastAsia="Times New Roman" w:hAnsi="Times New Roman" w:cs="Microsoft Himalaya"/>
          <w:i/>
          <w:iCs/>
          <w:sz w:val="24"/>
          <w:szCs w:val="24"/>
        </w:rPr>
        <w:t>davaya</w:t>
      </w:r>
      <w:r w:rsidRPr="007D6614">
        <w:rPr>
          <w:rFonts w:ascii="Times New Roman" w:eastAsia="Times New Roman" w:hAnsi="Times New Roman" w:cs="Microsoft Himalaya"/>
          <w:sz w:val="24"/>
          <w:szCs w:val="24"/>
        </w:rPr>
        <w:t xml:space="preserve"> Büyük Daire karar verir. "Dava" terimi, başvurunun sadece kabul edilebilir olduğu belirtilen kısmını değil, tüm davayı ifade eder. Talebin kapsamına ilişkin herhangi bir sınırlama yoktur. Ayrıca, "Sözleşmenin yorumlanmasını veya uygulanmasını etkileyen ciddi sorun" veya "genel öneme sahip ciddi sorun", kabul edilmez ilan edilen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ler bağlamında ortaya çıkabilir. Bu nedenle, 43. madde uyarınca yapılan talebin kabulü, kararın sadece davanın esasına karar veren kısmının değil, Daire kararının tamamının iptal edildiği anlamına gelmelidir. Daire kararını biri dokunulmaz olan, diğeri bozulmuş olan iki kısma ayırmak için hiçbir gerekçe yoktur.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Daire tarafından kabul edilemez bulunan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ler Büyük Daire tarafından incelenmek üzere kabul edilirse, Mahkeme’nin görevini tanımlayan 19. madde ("Yüksek Sözleşmeci Taraflarca Sözleşme ve Protokollerinde üstlenilen görevlere uyulmasını sağlamak için") daha iyi gözetilecektir.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Ayrıca Daire tarafından benimsenen yaklaşım, tüm tarafların eşit haklara sahip olması ilkesinin ihlali olarak görülebilir. Bir davanın Büyük Daire'ye sevk edilmesini talep eden bir Hükümet, kabul edilemez ilan edilen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lerin esas </w:t>
      </w:r>
      <w:r w:rsidR="00350CA9">
        <w:rPr>
          <w:rFonts w:ascii="Times New Roman" w:eastAsia="Times New Roman" w:hAnsi="Times New Roman" w:cs="Microsoft Himalaya"/>
          <w:sz w:val="24"/>
          <w:szCs w:val="24"/>
        </w:rPr>
        <w:t>itibarıyla</w:t>
      </w:r>
      <w:r w:rsidRPr="007D6614">
        <w:rPr>
          <w:rFonts w:ascii="Times New Roman" w:eastAsia="Times New Roman" w:hAnsi="Times New Roman" w:cs="Microsoft Himalaya"/>
          <w:sz w:val="24"/>
          <w:szCs w:val="24"/>
        </w:rPr>
        <w:t xml:space="preserve"> incelenmesi riskiyle karşı karşıya değildir, oysa başvurucu, Daire tarafından kabul edilebilir ilan edilen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lerin Büyük Daire tarafından kabul edilemez ilan edilmesi riskiyle karşı karşıyadır. </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Mahkeme’nin Komite veya Daire kararlarının ne zaman kesinleşeceğini belirleyen Sözleşme ve Mahkeme İç Tüzüğü’nün hükümlerine dikkat etmek de önemlidir. İlk olarak, Sözleşme'nin 44. maddesi, "Daire veya Büyük Daire kararlarının" (bir davanın kabul edilebilirliği ve esasına ilişkin </w:t>
      </w:r>
      <w:proofErr w:type="spellStart"/>
      <w:r w:rsidRPr="007D6614">
        <w:rPr>
          <w:rFonts w:ascii="Times New Roman" w:eastAsia="Times New Roman" w:hAnsi="Times New Roman" w:cs="Microsoft Himalaya"/>
          <w:i/>
          <w:iCs/>
          <w:sz w:val="24"/>
          <w:szCs w:val="24"/>
        </w:rPr>
        <w:t>ergo</w:t>
      </w:r>
      <w:proofErr w:type="spellEnd"/>
      <w:r w:rsidRPr="007D6614">
        <w:rPr>
          <w:rFonts w:ascii="Times New Roman" w:eastAsia="Times New Roman" w:hAnsi="Times New Roman" w:cs="Microsoft Himalaya"/>
          <w:sz w:val="24"/>
          <w:szCs w:val="24"/>
        </w:rPr>
        <w:t xml:space="preserve"> kararlar) ne zaman kesinleştiğini kesin olarak belirler. İkinci olarak, Mahkeme İç Tüzüğü bir kararın nihai hale geleceği koşulları belirlerken, bunu açıkça yapar. Özellikle, tek yargıç ve Komite yargısal işlemlerine ilişkin olarak, İçtüzüğün 52A maddesinin 1. fıkrası ve 53. maddesinin 4. fıkrasının 1. bendi, Sözleşme'nin 27. maddesi kapsamındaki kararların ve Sözleşme'nin 28. maddesi kapsamındaki kararların nihai olduğunu belirtir. Daire yargılamalarını ele alırken, İçtüzüğün 54. maddesinin 3. fıkrasının, 1. ve 2. cümleleri açıkça şunu öngörmektedir: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proofErr w:type="gramStart"/>
      <w:r w:rsidRPr="007D6614">
        <w:rPr>
          <w:rFonts w:ascii="Times New Roman" w:eastAsia="Times New Roman" w:hAnsi="Times New Roman" w:cs="Microsoft Himalaya"/>
          <w:sz w:val="20"/>
          <w:szCs w:val="24"/>
        </w:rPr>
        <w:t>“</w:t>
      </w:r>
      <w:proofErr w:type="spellStart"/>
      <w:r w:rsidRPr="007D6614">
        <w:rPr>
          <w:rFonts w:ascii="Times New Roman" w:eastAsia="Times New Roman" w:hAnsi="Times New Roman" w:cs="Microsoft Himalaya"/>
          <w:sz w:val="20"/>
          <w:szCs w:val="24"/>
        </w:rPr>
        <w:t>Bölüm</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Başkanı</w:t>
      </w:r>
      <w:proofErr w:type="spellEnd"/>
      <w:r w:rsidRPr="007D6614">
        <w:rPr>
          <w:rFonts w:ascii="Times New Roman" w:eastAsia="Times New Roman" w:hAnsi="Times New Roman" w:cs="Microsoft Himalaya"/>
          <w:sz w:val="20"/>
          <w:szCs w:val="24"/>
        </w:rPr>
        <w:t xml:space="preserve">, bu maddenin 2 (b) bendi kapsamındaki yetkilerini kullanırken, tek </w:t>
      </w:r>
      <w:proofErr w:type="spellStart"/>
      <w:r w:rsidRPr="007D6614">
        <w:rPr>
          <w:rFonts w:ascii="Times New Roman" w:eastAsia="Times New Roman" w:hAnsi="Times New Roman" w:cs="Microsoft Himalaya"/>
          <w:sz w:val="20"/>
          <w:szCs w:val="24"/>
        </w:rPr>
        <w:t>yargıc</w:t>
      </w:r>
      <w:proofErr w:type="spellEnd"/>
      <w:r w:rsidRPr="007D6614">
        <w:rPr>
          <w:rFonts w:ascii="Times New Roman" w:eastAsia="Times New Roman" w:hAnsi="Times New Roman" w:cs="Microsoft Himalaya"/>
          <w:sz w:val="20"/>
          <w:szCs w:val="24"/>
        </w:rPr>
        <w:t xml:space="preserve">̧ olarak yer alıp, </w:t>
      </w:r>
      <w:proofErr w:type="spellStart"/>
      <w:r w:rsidRPr="007D6614">
        <w:rPr>
          <w:rFonts w:ascii="Times New Roman" w:eastAsia="Times New Roman" w:hAnsi="Times New Roman" w:cs="Microsoft Himalaya"/>
          <w:sz w:val="20"/>
          <w:szCs w:val="24"/>
        </w:rPr>
        <w:t>başvurunun</w:t>
      </w:r>
      <w:proofErr w:type="spellEnd"/>
      <w:r w:rsidRPr="007D6614">
        <w:rPr>
          <w:rFonts w:ascii="Times New Roman" w:eastAsia="Times New Roman" w:hAnsi="Times New Roman" w:cs="Microsoft Himalaya"/>
          <w:sz w:val="20"/>
          <w:szCs w:val="24"/>
        </w:rPr>
        <w:t xml:space="preserve"> bir </w:t>
      </w:r>
      <w:proofErr w:type="spellStart"/>
      <w:r w:rsidRPr="007D6614">
        <w:rPr>
          <w:rFonts w:ascii="Times New Roman" w:eastAsia="Times New Roman" w:hAnsi="Times New Roman" w:cs="Microsoft Himalaya"/>
          <w:sz w:val="20"/>
          <w:szCs w:val="24"/>
        </w:rPr>
        <w:t>bölümünün</w:t>
      </w:r>
      <w:proofErr w:type="spellEnd"/>
      <w:r w:rsidRPr="007D6614">
        <w:rPr>
          <w:rFonts w:ascii="Times New Roman" w:eastAsia="Times New Roman" w:hAnsi="Times New Roman" w:cs="Microsoft Himalaya"/>
          <w:sz w:val="20"/>
          <w:szCs w:val="24"/>
        </w:rPr>
        <w:t xml:space="preserve"> kabul edilemez </w:t>
      </w:r>
      <w:proofErr w:type="spellStart"/>
      <w:r w:rsidRPr="007D6614">
        <w:rPr>
          <w:rFonts w:ascii="Times New Roman" w:eastAsia="Times New Roman" w:hAnsi="Times New Roman" w:cs="Microsoft Himalaya"/>
          <w:sz w:val="20"/>
          <w:szCs w:val="24"/>
        </w:rPr>
        <w:t>olduğuna</w:t>
      </w:r>
      <w:proofErr w:type="spellEnd"/>
      <w:r w:rsidRPr="007D6614">
        <w:rPr>
          <w:rFonts w:ascii="Times New Roman" w:eastAsia="Times New Roman" w:hAnsi="Times New Roman" w:cs="Microsoft Himalaya"/>
          <w:sz w:val="20"/>
          <w:szCs w:val="24"/>
        </w:rPr>
        <w:t xml:space="preserve"> ya da </w:t>
      </w:r>
      <w:proofErr w:type="spellStart"/>
      <w:r w:rsidRPr="007D6614">
        <w:rPr>
          <w:rFonts w:ascii="Times New Roman" w:eastAsia="Times New Roman" w:hAnsi="Times New Roman" w:cs="Microsoft Himalaya"/>
          <w:sz w:val="20"/>
          <w:szCs w:val="24"/>
        </w:rPr>
        <w:t>başvurunun</w:t>
      </w:r>
      <w:proofErr w:type="spellEnd"/>
      <w:r w:rsidRPr="007D6614">
        <w:rPr>
          <w:rFonts w:ascii="Times New Roman" w:eastAsia="Times New Roman" w:hAnsi="Times New Roman" w:cs="Microsoft Himalaya"/>
          <w:sz w:val="20"/>
          <w:szCs w:val="24"/>
        </w:rPr>
        <w:t xml:space="preserve"> bir </w:t>
      </w:r>
      <w:proofErr w:type="spellStart"/>
      <w:r w:rsidRPr="007D6614">
        <w:rPr>
          <w:rFonts w:ascii="Times New Roman" w:eastAsia="Times New Roman" w:hAnsi="Times New Roman" w:cs="Microsoft Himalaya"/>
          <w:sz w:val="20"/>
          <w:szCs w:val="24"/>
        </w:rPr>
        <w:t>bölümünün</w:t>
      </w:r>
      <w:proofErr w:type="spellEnd"/>
      <w:r w:rsidRPr="007D6614">
        <w:rPr>
          <w:rFonts w:ascii="Times New Roman" w:eastAsia="Times New Roman" w:hAnsi="Times New Roman" w:cs="Microsoft Himalaya"/>
          <w:sz w:val="20"/>
          <w:szCs w:val="24"/>
        </w:rPr>
        <w:t xml:space="preserve"> Mahkeme’nin dava listesinden </w:t>
      </w:r>
      <w:proofErr w:type="spellStart"/>
      <w:r w:rsidRPr="007D6614">
        <w:rPr>
          <w:rFonts w:ascii="Times New Roman" w:eastAsia="Times New Roman" w:hAnsi="Times New Roman" w:cs="Microsoft Himalaya"/>
          <w:sz w:val="20"/>
          <w:szCs w:val="24"/>
        </w:rPr>
        <w:t>düşürülmesine</w:t>
      </w:r>
      <w:proofErr w:type="spellEnd"/>
      <w:r w:rsidRPr="007D6614">
        <w:rPr>
          <w:rFonts w:ascii="Times New Roman" w:eastAsia="Times New Roman" w:hAnsi="Times New Roman" w:cs="Microsoft Himalaya"/>
          <w:sz w:val="20"/>
          <w:szCs w:val="24"/>
        </w:rPr>
        <w:t xml:space="preserve"> karar verebilir. </w:t>
      </w:r>
      <w:proofErr w:type="gramEnd"/>
      <w:r w:rsidRPr="007D6614">
        <w:rPr>
          <w:rFonts w:ascii="Times New Roman" w:eastAsia="Times New Roman" w:hAnsi="Times New Roman" w:cs="Microsoft Himalaya"/>
          <w:sz w:val="20"/>
          <w:szCs w:val="24"/>
        </w:rPr>
        <w:t>Bu karar nihaidir.”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Daire kararlarına ilişkin benzer hükümler söz konusu değildir. Bu, Daire kararlarının bazı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leri kabul edilemez ilan eden kısımlarının, davanın Büyük Daire'ye gönderilmesi halinde kesinleşmemesi gerektiği görüşünü destekleyen bir başka </w:t>
      </w:r>
      <w:proofErr w:type="gramStart"/>
      <w:r w:rsidRPr="007D6614">
        <w:rPr>
          <w:rFonts w:ascii="Times New Roman" w:eastAsia="Times New Roman" w:hAnsi="Times New Roman" w:cs="Microsoft Himalaya"/>
          <w:sz w:val="24"/>
          <w:szCs w:val="24"/>
        </w:rPr>
        <w:t>argümandır</w:t>
      </w:r>
      <w:proofErr w:type="gramEnd"/>
      <w:r w:rsidRPr="007D6614">
        <w:rPr>
          <w:rFonts w:ascii="Times New Roman" w:eastAsia="Times New Roman" w:hAnsi="Times New Roman" w:cs="Microsoft Himalaya"/>
          <w:sz w:val="24"/>
          <w:szCs w:val="24"/>
        </w:rPr>
        <w:t>.</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Bu nedenle lafzi, sistemik ve teleolojik yorumların hepsi aynı yönü işaret etmektedir: Büyük Daire önündeki davanın kapsamı, Daire tarafından kabul edilebilir ilan edilen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lere indirgenmemelidir.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3</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Mevcut davadaki gerekçelendirme, başvurucunun milletvekili olarak statüsünü vurgulamaktadır (bakınız kararın 242 ila 245. paragrafları). </w:t>
      </w:r>
      <w:proofErr w:type="gramStart"/>
      <w:r w:rsidRPr="007D6614">
        <w:rPr>
          <w:rFonts w:ascii="Times New Roman" w:eastAsia="Times New Roman" w:hAnsi="Times New Roman" w:cs="Microsoft Himalaya"/>
          <w:sz w:val="24"/>
          <w:szCs w:val="24"/>
        </w:rPr>
        <w:t xml:space="preserve">Hiç şüphe yok ki, Meclis, milletvekilliği dokunulmazlıkları ve üyelerine tanınan </w:t>
      </w:r>
      <w:r w:rsidRPr="007D6614">
        <w:rPr>
          <w:rFonts w:ascii="Times New Roman" w:eastAsia="Times New Roman" w:hAnsi="Times New Roman" w:cs="Microsoft Himalaya"/>
          <w:sz w:val="24"/>
          <w:szCs w:val="24"/>
        </w:rPr>
        <w:lastRenderedPageBreak/>
        <w:t xml:space="preserve">diğer ayrıcalıklarla korunmalıdır, çünkü meclisteki muhalefet üyeleri yetkililer tarafından diğer kişilere göre çok daha sık hedef alınabilir ve ayrıca konuşmaları, ne temel anayasal haklar ne de Sözleşme hakları tarafından korunan resmi konuşma kategorisine girebilir (bakınız </w:t>
      </w:r>
      <w:proofErr w:type="spellStart"/>
      <w:r w:rsidRPr="007D6614">
        <w:rPr>
          <w:rFonts w:ascii="Times New Roman" w:eastAsia="Times New Roman" w:hAnsi="Times New Roman" w:cs="Microsoft Himalaya"/>
          <w:i/>
          <w:iCs/>
          <w:sz w:val="24"/>
          <w:szCs w:val="24"/>
        </w:rPr>
        <w:t>Makraduli</w:t>
      </w:r>
      <w:proofErr w:type="spellEnd"/>
      <w:r w:rsidRPr="007D6614">
        <w:rPr>
          <w:rFonts w:ascii="Times New Roman" w:eastAsia="Times New Roman" w:hAnsi="Times New Roman" w:cs="Microsoft Himalaya"/>
          <w:i/>
          <w:iCs/>
          <w:sz w:val="24"/>
          <w:szCs w:val="24"/>
        </w:rPr>
        <w:t xml:space="preserve"> v. Eski Yugoslav Makedonya Cumhuriyeti</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64659/11 ve 24133/13, 19 Temmuz 2018 davasındaki karara ekli mutabık görüşüm).</w:t>
      </w:r>
      <w:proofErr w:type="gramEnd"/>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Aynı zamanda, siyasi dokunulmazlıklar ve diğer ayrıcalıklar bireysel haklar değildir. Milletvekillerinin özel çıkarlarını değil, her zaman kamu çıkarlarını korurlar. Kendini gerçekleştirme işlevini değil meclis işlevini korurlar. Bu nedenle yasama organı, dokunulmazlığın efendisidir ve uygun gördüğü takdirde yasayla belirlenen usullere uygun olarak onu kaldırabilir. A. </w:t>
      </w:r>
      <w:proofErr w:type="spellStart"/>
      <w:r w:rsidRPr="007D6614">
        <w:rPr>
          <w:rFonts w:ascii="Times New Roman" w:eastAsia="Times New Roman" w:hAnsi="Times New Roman" w:cs="Microsoft Himalaya"/>
          <w:sz w:val="24"/>
          <w:szCs w:val="24"/>
        </w:rPr>
        <w:t>Esmein'in</w:t>
      </w:r>
      <w:proofErr w:type="spellEnd"/>
      <w:r w:rsidRPr="007D6614">
        <w:rPr>
          <w:rFonts w:ascii="Times New Roman" w:eastAsia="Times New Roman" w:hAnsi="Times New Roman" w:cs="Microsoft Himalaya"/>
          <w:sz w:val="24"/>
          <w:szCs w:val="24"/>
        </w:rPr>
        <w:t xml:space="preserve"> klasik ders kitabında açıkladığı gibi:</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"Buradaki çalışmamızın odak noktası olan yasama dokunulmazlıkları, </w:t>
      </w:r>
      <w:r w:rsidR="001302A1">
        <w:rPr>
          <w:rFonts w:ascii="Times New Roman" w:eastAsia="Times New Roman" w:hAnsi="Times New Roman" w:cs="Microsoft Himalaya"/>
          <w:sz w:val="20"/>
          <w:szCs w:val="24"/>
        </w:rPr>
        <w:t>milletvekill</w:t>
      </w:r>
      <w:r w:rsidRPr="007D6614">
        <w:rPr>
          <w:rFonts w:ascii="Times New Roman" w:eastAsia="Times New Roman" w:hAnsi="Times New Roman" w:cs="Microsoft Himalaya"/>
          <w:sz w:val="20"/>
          <w:szCs w:val="24"/>
        </w:rPr>
        <w:t xml:space="preserve">erine verilen gerçek lütufların görüntüsünü alıyor, ancak gerçekte bu onların doğasından değildir. Bunlar yalnızca, kendilerinden yararlananların ait olduğu Meclisin çıkarları ve bu Meclisin temsil ettiği ulusun çıkarları için var olurlar. Amaçları Meclis’in bağımsızlığını ve serbestçe işlemesini sağlamaktır; kamu yararına kurulurlar ve herhangi bir özel çıkar gözetmezler. " (A. </w:t>
      </w:r>
      <w:proofErr w:type="spellStart"/>
      <w:r w:rsidRPr="007D6614">
        <w:rPr>
          <w:rFonts w:ascii="Times New Roman" w:eastAsia="Times New Roman" w:hAnsi="Times New Roman" w:cs="Microsoft Himalaya"/>
          <w:sz w:val="20"/>
          <w:szCs w:val="24"/>
        </w:rPr>
        <w:t>Esmein</w:t>
      </w:r>
      <w:proofErr w:type="spellEnd"/>
      <w:r w:rsidRPr="007D6614">
        <w:rPr>
          <w:rFonts w:ascii="Times New Roman" w:eastAsia="Times New Roman" w:hAnsi="Times New Roman" w:cs="Microsoft Himalaya"/>
          <w:sz w:val="20"/>
          <w:szCs w:val="24"/>
        </w:rPr>
        <w:t>,</w:t>
      </w:r>
      <w:r w:rsidRPr="007D6614">
        <w:rPr>
          <w:rFonts w:ascii="Times New Roman" w:eastAsia="Times New Roman" w:hAnsi="Times New Roman" w:cs="Microsoft Himalaya"/>
          <w:i/>
          <w:sz w:val="20"/>
          <w:szCs w:val="24"/>
        </w:rPr>
        <w:t xml:space="preserve"> </w:t>
      </w:r>
      <w:proofErr w:type="spellStart"/>
      <w:r w:rsidRPr="007D6614">
        <w:rPr>
          <w:rFonts w:ascii="Times New Roman" w:eastAsia="Times New Roman" w:hAnsi="Times New Roman" w:cs="Microsoft Himalaya"/>
          <w:i/>
          <w:sz w:val="20"/>
          <w:szCs w:val="24"/>
        </w:rPr>
        <w:t>Éléments</w:t>
      </w:r>
      <w:proofErr w:type="spellEnd"/>
      <w:r w:rsidRPr="007D6614">
        <w:rPr>
          <w:rFonts w:ascii="Times New Roman" w:eastAsia="Times New Roman" w:hAnsi="Times New Roman" w:cs="Microsoft Himalaya"/>
          <w:i/>
          <w:sz w:val="20"/>
          <w:szCs w:val="24"/>
        </w:rPr>
        <w:t xml:space="preserve"> de </w:t>
      </w:r>
      <w:proofErr w:type="spellStart"/>
      <w:r w:rsidRPr="007D6614">
        <w:rPr>
          <w:rFonts w:ascii="Times New Roman" w:eastAsia="Times New Roman" w:hAnsi="Times New Roman" w:cs="Microsoft Himalaya"/>
          <w:i/>
          <w:sz w:val="20"/>
          <w:szCs w:val="24"/>
        </w:rPr>
        <w:t>droit</w:t>
      </w:r>
      <w:proofErr w:type="spellEnd"/>
      <w:r w:rsidRPr="007D6614">
        <w:rPr>
          <w:rFonts w:ascii="Times New Roman" w:eastAsia="Times New Roman" w:hAnsi="Times New Roman" w:cs="Microsoft Himalaya"/>
          <w:i/>
          <w:sz w:val="20"/>
          <w:szCs w:val="24"/>
        </w:rPr>
        <w:t xml:space="preserve"> </w:t>
      </w:r>
      <w:proofErr w:type="spellStart"/>
      <w:r w:rsidRPr="007D6614">
        <w:rPr>
          <w:rFonts w:ascii="Times New Roman" w:eastAsia="Times New Roman" w:hAnsi="Times New Roman" w:cs="Microsoft Himalaya"/>
          <w:i/>
          <w:sz w:val="20"/>
          <w:szCs w:val="24"/>
        </w:rPr>
        <w:t>constitutionnel</w:t>
      </w:r>
      <w:proofErr w:type="spellEnd"/>
      <w:r w:rsidRPr="007D6614">
        <w:rPr>
          <w:rFonts w:ascii="Times New Roman" w:eastAsia="Times New Roman" w:hAnsi="Times New Roman" w:cs="Microsoft Himalaya"/>
          <w:i/>
          <w:sz w:val="20"/>
          <w:szCs w:val="24"/>
        </w:rPr>
        <w:t xml:space="preserve"> </w:t>
      </w:r>
      <w:proofErr w:type="spellStart"/>
      <w:r w:rsidRPr="007D6614">
        <w:rPr>
          <w:rFonts w:ascii="Times New Roman" w:eastAsia="Times New Roman" w:hAnsi="Times New Roman" w:cs="Microsoft Himalaya"/>
          <w:i/>
          <w:sz w:val="20"/>
          <w:szCs w:val="24"/>
        </w:rPr>
        <w:t>français</w:t>
      </w:r>
      <w:proofErr w:type="spellEnd"/>
      <w:r w:rsidRPr="007D6614">
        <w:rPr>
          <w:rFonts w:ascii="Times New Roman" w:eastAsia="Times New Roman" w:hAnsi="Times New Roman" w:cs="Microsoft Himalaya"/>
          <w:i/>
          <w:sz w:val="20"/>
          <w:szCs w:val="24"/>
        </w:rPr>
        <w:t xml:space="preserve"> et </w:t>
      </w:r>
      <w:proofErr w:type="spellStart"/>
      <w:r w:rsidRPr="007D6614">
        <w:rPr>
          <w:rFonts w:ascii="Times New Roman" w:eastAsia="Times New Roman" w:hAnsi="Times New Roman" w:cs="Microsoft Himalaya"/>
          <w:i/>
          <w:sz w:val="20"/>
          <w:szCs w:val="24"/>
        </w:rPr>
        <w:t>comparé</w:t>
      </w:r>
      <w:proofErr w:type="spellEnd"/>
      <w:r w:rsidRPr="007D6614">
        <w:rPr>
          <w:rFonts w:ascii="Times New Roman" w:eastAsia="Times New Roman" w:hAnsi="Times New Roman" w:cs="Microsoft Himalaya"/>
          <w:sz w:val="20"/>
          <w:szCs w:val="24"/>
        </w:rPr>
        <w:t>,</w:t>
      </w:r>
      <w:r w:rsidRPr="007D6614">
        <w:rPr>
          <w:rFonts w:ascii="Times New Roman" w:eastAsia="Times New Roman" w:hAnsi="Times New Roman" w:cs="Microsoft Himalaya"/>
          <w:i/>
          <w:sz w:val="20"/>
          <w:szCs w:val="24"/>
        </w:rPr>
        <w:t xml:space="preserve"> </w:t>
      </w:r>
      <w:proofErr w:type="spellStart"/>
      <w:r w:rsidRPr="007D6614">
        <w:rPr>
          <w:rFonts w:ascii="Times New Roman" w:eastAsia="Times New Roman" w:hAnsi="Times New Roman" w:cs="Microsoft Himalaya"/>
          <w:sz w:val="20"/>
          <w:szCs w:val="24"/>
        </w:rPr>
        <w:t>Librairie</w:t>
      </w:r>
      <w:proofErr w:type="spellEnd"/>
      <w:r w:rsidRPr="007D6614">
        <w:rPr>
          <w:rFonts w:ascii="Times New Roman" w:eastAsia="Times New Roman" w:hAnsi="Times New Roman" w:cs="Microsoft Himalaya"/>
          <w:sz w:val="20"/>
          <w:szCs w:val="24"/>
        </w:rPr>
        <w:t xml:space="preserve"> de la </w:t>
      </w:r>
      <w:proofErr w:type="spellStart"/>
      <w:r w:rsidRPr="007D6614">
        <w:rPr>
          <w:rFonts w:ascii="Times New Roman" w:eastAsia="Times New Roman" w:hAnsi="Times New Roman" w:cs="Microsoft Himalaya"/>
          <w:sz w:val="20"/>
          <w:szCs w:val="24"/>
        </w:rPr>
        <w:t>société</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du</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Recueil</w:t>
      </w:r>
      <w:proofErr w:type="spellEnd"/>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Sirey</w:t>
      </w:r>
      <w:proofErr w:type="spellEnd"/>
      <w:r w:rsidRPr="007D6614">
        <w:rPr>
          <w:rFonts w:ascii="Times New Roman" w:eastAsia="Times New Roman" w:hAnsi="Times New Roman" w:cs="Microsoft Himalaya"/>
          <w:sz w:val="20"/>
          <w:szCs w:val="24"/>
        </w:rPr>
        <w:t>,</w:t>
      </w:r>
      <w:r w:rsidRPr="007D6614">
        <w:rPr>
          <w:rFonts w:ascii="Times New Roman" w:eastAsia="Times New Roman" w:hAnsi="Times New Roman" w:cs="Microsoft Himalaya"/>
          <w:i/>
          <w:sz w:val="20"/>
          <w:szCs w:val="24"/>
        </w:rPr>
        <w:t xml:space="preserve"> </w:t>
      </w:r>
      <w:r w:rsidRPr="007D6614">
        <w:rPr>
          <w:rFonts w:ascii="Times New Roman" w:eastAsia="Times New Roman" w:hAnsi="Times New Roman" w:cs="Microsoft Himalaya"/>
          <w:sz w:val="20"/>
          <w:szCs w:val="24"/>
        </w:rPr>
        <w:t>Paris, 1914, 6th ed</w:t>
      </w:r>
      <w:proofErr w:type="gramStart"/>
      <w:r w:rsidRPr="007D6614">
        <w:rPr>
          <w:rFonts w:ascii="Times New Roman" w:eastAsia="Times New Roman" w:hAnsi="Times New Roman" w:cs="Microsoft Himalaya"/>
          <w:sz w:val="20"/>
          <w:szCs w:val="24"/>
        </w:rPr>
        <w:t>.,</w:t>
      </w:r>
      <w:proofErr w:type="gramEnd"/>
      <w:r w:rsidRPr="007D6614">
        <w:rPr>
          <w:rFonts w:ascii="Times New Roman" w:eastAsia="Times New Roman" w:hAnsi="Times New Roman" w:cs="Microsoft Himalaya"/>
          <w:sz w:val="20"/>
          <w:szCs w:val="24"/>
        </w:rPr>
        <w:t xml:space="preserve"> p. 953)</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Ayrıca, “resmi olmayan” konuşmanın içeriği üzerindeki sınırlar tüm bireyler için aynı olmalıdır. Bu nedenle, başvurucu milletvekili olmasaydı, mevcut davanın sonucunun tamamen aynı olması gerektiğinin altını çizmek önemlidir. Bugün artık milletvekili olmaması, Sözleşme uyarınca hak sahibi olarak statüsünü değiştirmez.</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Yeri gelmişken Büyük Daire'nin paragraf 384'te önceki içtihatta ifade edilen aşağıdaki görüşü onayladığını not ediyorum (vurgu eklendi):</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“İfade özgürlüğü herkes için önemliyken, özellikle seçilmiş bir halk temsilcisi için daha da önemlidir. </w:t>
      </w:r>
      <w:r w:rsidRPr="007D6614">
        <w:rPr>
          <w:rFonts w:ascii="Times New Roman" w:eastAsia="Times New Roman" w:hAnsi="Times New Roman" w:cs="Microsoft Himalaya"/>
          <w:b/>
          <w:bCs/>
          <w:sz w:val="20"/>
          <w:szCs w:val="24"/>
        </w:rPr>
        <w:t xml:space="preserve">Seçmenini </w:t>
      </w:r>
      <w:r w:rsidRPr="007D6614">
        <w:rPr>
          <w:rFonts w:ascii="Times New Roman" w:eastAsia="Times New Roman" w:hAnsi="Times New Roman" w:cs="Microsoft Himalaya"/>
          <w:sz w:val="20"/>
          <w:szCs w:val="24"/>
        </w:rPr>
        <w:t xml:space="preserve">temsil etmektedir, meşguliyetlerine dikkat çekmektedir ve çıkarlarını savunmaktadır... (bakınız yukarıda anılan </w:t>
      </w:r>
      <w:proofErr w:type="spellStart"/>
      <w:r w:rsidRPr="007D6614">
        <w:rPr>
          <w:rFonts w:ascii="Times New Roman" w:eastAsia="Times New Roman" w:hAnsi="Times New Roman" w:cs="Microsoft Himalaya"/>
          <w:i/>
          <w:iCs/>
          <w:sz w:val="20"/>
          <w:szCs w:val="24"/>
        </w:rPr>
        <w:t>Castells</w:t>
      </w:r>
      <w:proofErr w:type="spellEnd"/>
      <w:r w:rsidRPr="007D6614">
        <w:rPr>
          <w:rFonts w:ascii="Times New Roman" w:eastAsia="Times New Roman" w:hAnsi="Times New Roman" w:cs="Microsoft Himalaya"/>
          <w:sz w:val="20"/>
          <w:szCs w:val="24"/>
        </w:rPr>
        <w:t>, § 42). "</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Yasama görevine ilişkin bu </w:t>
      </w:r>
      <w:proofErr w:type="gramStart"/>
      <w:r w:rsidRPr="007D6614">
        <w:rPr>
          <w:rFonts w:ascii="Times New Roman" w:eastAsia="Times New Roman" w:hAnsi="Times New Roman" w:cs="Microsoft Himalaya"/>
          <w:sz w:val="24"/>
          <w:szCs w:val="24"/>
        </w:rPr>
        <w:t>vizyon</w:t>
      </w:r>
      <w:proofErr w:type="gramEnd"/>
      <w:r w:rsidRPr="007D6614">
        <w:rPr>
          <w:rFonts w:ascii="Times New Roman" w:eastAsia="Times New Roman" w:hAnsi="Times New Roman" w:cs="Microsoft Himalaya"/>
          <w:sz w:val="24"/>
          <w:szCs w:val="24"/>
        </w:rPr>
        <w:t xml:space="preserve"> çok sorunludur. Türkiye Anayasası 80. maddede bunun tam tersini söylemektedir:</w:t>
      </w:r>
    </w:p>
    <w:p w:rsidR="007D6614" w:rsidRPr="007D6614" w:rsidRDefault="007D6614" w:rsidP="007D6614">
      <w:pPr>
        <w:spacing w:before="120" w:after="120" w:line="240" w:lineRule="auto"/>
        <w:ind w:left="425"/>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“Türkiye Büyük Millet Meclisi üyeleri, seçildikleri bölgeyi veya kendilerini seçenleri değil, bütün Milleti temsil ederler.”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Daha da önemlisi, Avrupa anayasal geleneğinde, </w:t>
      </w:r>
      <w:r w:rsidR="001302A1">
        <w:rPr>
          <w:rFonts w:ascii="Times New Roman" w:eastAsia="Times New Roman" w:hAnsi="Times New Roman" w:cs="Microsoft Himalaya"/>
          <w:sz w:val="24"/>
          <w:szCs w:val="24"/>
        </w:rPr>
        <w:t xml:space="preserve">milletvekilleri </w:t>
      </w:r>
      <w:r w:rsidRPr="007D6614">
        <w:rPr>
          <w:rFonts w:ascii="Times New Roman" w:eastAsia="Times New Roman" w:hAnsi="Times New Roman" w:cs="Microsoft Himalaya"/>
          <w:sz w:val="24"/>
          <w:szCs w:val="24"/>
        </w:rPr>
        <w:t xml:space="preserve">seçmenlerini değil ulusu veya halkı temsil etmektedir. A. </w:t>
      </w:r>
      <w:proofErr w:type="spellStart"/>
      <w:r w:rsidRPr="007D6614">
        <w:rPr>
          <w:rFonts w:ascii="Times New Roman" w:eastAsia="Times New Roman" w:hAnsi="Times New Roman" w:cs="Microsoft Himalaya"/>
          <w:sz w:val="24"/>
          <w:szCs w:val="24"/>
        </w:rPr>
        <w:t>Esmein</w:t>
      </w:r>
      <w:proofErr w:type="spellEnd"/>
      <w:r w:rsidRPr="007D6614">
        <w:rPr>
          <w:rFonts w:ascii="Times New Roman" w:eastAsia="Times New Roman" w:hAnsi="Times New Roman" w:cs="Microsoft Himalaya"/>
          <w:sz w:val="24"/>
          <w:szCs w:val="24"/>
        </w:rPr>
        <w:t>, bu geleneği aşağıdaki terimlerle özetlemektedir: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lastRenderedPageBreak/>
        <w:t xml:space="preserve">“Temsilciler, yetkilerini hukuken, kendilerini seçen seçim çevresinden değil, bir bütün olarak ulustan alırlar. Doğrusu, egemenlik uygulamasına katılırlar. Ve egemenlik 'ulusa aittir; bırakın delege etmek şöyle dursun, insanların hiçbir bölümü ya da herhangi bir birey bunun kullanımını üstlenemez. Bu gerçek, daha sonra birçok anayasada tekrarlanan isabetli ifadelerle 1791 Anayasasına yansımıştır: ‘Bölgelerde seçilen temsilciler, belirli bir bölgenin değil, tüm ulusun temsilcileri olacak ve onlara hiçbir görev </w:t>
      </w:r>
      <w:proofErr w:type="spellStart"/>
      <w:r w:rsidRPr="007D6614">
        <w:rPr>
          <w:rFonts w:ascii="Times New Roman" w:eastAsia="Times New Roman" w:hAnsi="Times New Roman" w:cs="Microsoft Himalaya"/>
          <w:sz w:val="20"/>
          <w:szCs w:val="24"/>
        </w:rPr>
        <w:t>verilemez.’Buradan</w:t>
      </w:r>
      <w:proofErr w:type="spellEnd"/>
      <w:r w:rsidRPr="007D6614">
        <w:rPr>
          <w:rFonts w:ascii="Times New Roman" w:eastAsia="Times New Roman" w:hAnsi="Times New Roman" w:cs="Microsoft Himalaya"/>
          <w:sz w:val="20"/>
          <w:szCs w:val="24"/>
        </w:rPr>
        <w:t>, seçilmiş bir milletvekili, kendi seçmenlerinin vekili olarak kabul edilemez. "(</w:t>
      </w:r>
      <w:r w:rsidRPr="007D6614">
        <w:rPr>
          <w:rFonts w:ascii="Times New Roman" w:eastAsia="Times New Roman" w:hAnsi="Times New Roman" w:cs="Microsoft Himalaya"/>
          <w:i/>
          <w:iCs/>
          <w:sz w:val="20"/>
          <w:szCs w:val="24"/>
        </w:rPr>
        <w:t xml:space="preserve">op. </w:t>
      </w:r>
      <w:proofErr w:type="spellStart"/>
      <w:r w:rsidRPr="007D6614">
        <w:rPr>
          <w:rFonts w:ascii="Times New Roman" w:eastAsia="Times New Roman" w:hAnsi="Times New Roman" w:cs="Microsoft Himalaya"/>
          <w:i/>
          <w:iCs/>
          <w:sz w:val="20"/>
          <w:szCs w:val="24"/>
        </w:rPr>
        <w:t>cit</w:t>
      </w:r>
      <w:proofErr w:type="spellEnd"/>
      <w:proofErr w:type="gramStart"/>
      <w:r w:rsidRPr="007D6614">
        <w:rPr>
          <w:rFonts w:ascii="Times New Roman" w:eastAsia="Times New Roman" w:hAnsi="Times New Roman" w:cs="Microsoft Himalaya"/>
          <w:i/>
          <w:sz w:val="20"/>
          <w:szCs w:val="24"/>
        </w:rPr>
        <w:t>.</w:t>
      </w:r>
      <w:r w:rsidRPr="007D6614">
        <w:rPr>
          <w:rFonts w:ascii="Times New Roman" w:eastAsia="Times New Roman" w:hAnsi="Times New Roman" w:cs="Microsoft Himalaya"/>
          <w:sz w:val="20"/>
          <w:szCs w:val="24"/>
        </w:rPr>
        <w:t>,</w:t>
      </w:r>
      <w:proofErr w:type="gramEnd"/>
      <w:r w:rsidRPr="007D6614">
        <w:rPr>
          <w:rFonts w:ascii="Times New Roman" w:eastAsia="Times New Roman" w:hAnsi="Times New Roman" w:cs="Microsoft Himalaya"/>
          <w:sz w:val="20"/>
          <w:szCs w:val="24"/>
        </w:rPr>
        <w:t xml:space="preserve"> p. 307)</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Bu aynı zamanda, yasama görevinin özünün insanları veya milleti temsil etmekten ibaret olduğunu ve insan haklarının kişisel olarak kendini gerçekleştirme amacıyla veya bu hakların temelinde yatan özel çıkarları savunmak amacıyla kullanılmadığını göstermektedir.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4</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Yine de, bu davada 10. maddenin geçerli olduğunu kabul ediyorum, çünkü bana göre, başvurucunun konuşması resmi konuşma kategorisine girmemektedir (</w:t>
      </w:r>
      <w:r w:rsidRPr="007D6614">
        <w:rPr>
          <w:rFonts w:ascii="Times New Roman" w:eastAsia="Times New Roman" w:hAnsi="Times New Roman" w:cs="Microsoft Himalaya"/>
          <w:i/>
          <w:iCs/>
          <w:sz w:val="24"/>
          <w:szCs w:val="24"/>
        </w:rPr>
        <w:t>Baka v. Macaristan</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20261/12, 23 Haziran 2016 ve </w:t>
      </w:r>
      <w:proofErr w:type="spellStart"/>
      <w:r w:rsidRPr="007D6614">
        <w:rPr>
          <w:rFonts w:ascii="Times New Roman" w:eastAsia="Times New Roman" w:hAnsi="Times New Roman" w:cs="Microsoft Himalaya"/>
          <w:i/>
          <w:iCs/>
          <w:sz w:val="24"/>
          <w:szCs w:val="24"/>
        </w:rPr>
        <w:t>Szanyi</w:t>
      </w:r>
      <w:proofErr w:type="spellEnd"/>
      <w:r w:rsidRPr="007D6614">
        <w:rPr>
          <w:rFonts w:ascii="Times New Roman" w:eastAsia="Times New Roman" w:hAnsi="Times New Roman" w:cs="Microsoft Himalaya"/>
          <w:i/>
          <w:iCs/>
          <w:sz w:val="24"/>
          <w:szCs w:val="24"/>
        </w:rPr>
        <w:t xml:space="preserve"> v. Macaristan</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35493/13, 8 Kasım 2016 davalarındaki kararlara eklenen muhalif görüşlerime bakınız).</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Ulusal ceza yargılamalarının sonucunu beklemeden, iç hukukun yetersiz niteliğinden dolayı 10.maddenin ihlal edildiğini tespit etmenin bazı problemler ortaya çıkarmak anlamına gelmeyeceği sonucuna katılsam da ayrıca gerekçenin 271 ila 280. paragraflarında geliştirilen genel </w:t>
      </w:r>
      <w:proofErr w:type="gramStart"/>
      <w:r w:rsidRPr="007D6614">
        <w:rPr>
          <w:rFonts w:ascii="Times New Roman" w:eastAsia="Times New Roman" w:hAnsi="Times New Roman" w:cs="Microsoft Himalaya"/>
          <w:sz w:val="24"/>
          <w:szCs w:val="24"/>
        </w:rPr>
        <w:t>argüman</w:t>
      </w:r>
      <w:proofErr w:type="gramEnd"/>
      <w:r w:rsidRPr="007D6614">
        <w:rPr>
          <w:rFonts w:ascii="Times New Roman" w:eastAsia="Times New Roman" w:hAnsi="Times New Roman" w:cs="Microsoft Himalaya"/>
          <w:sz w:val="24"/>
          <w:szCs w:val="24"/>
        </w:rPr>
        <w:t xml:space="preserve"> satırlarına da katılıyorum. Aynı zamanda, 256-270. paragraflarda benimsenen yaklaşıma ilişkin ciddi çekincelerim var.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5</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Milletvekillerinin dokunulmazlığına ilişkin olarak, Mahkemece ifade edilen görüş, 261. paragrafta belirtilmiştir: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iCs/>
          <w:sz w:val="20"/>
          <w:szCs w:val="24"/>
        </w:rPr>
      </w:pPr>
      <w:r w:rsidRPr="007D6614">
        <w:rPr>
          <w:rFonts w:ascii="Times New Roman" w:eastAsia="Times New Roman" w:hAnsi="Times New Roman" w:cs="Microsoft Himalaya"/>
          <w:iCs/>
          <w:sz w:val="20"/>
          <w:szCs w:val="24"/>
        </w:rPr>
        <w:t xml:space="preserve">“Başvurucu, Meclis çalışmaları sırasında benzer konuşmalar yaptığını ve bu nedenle söz konusu konuşmaların Anayasa'nın 83. maddesinin birinci fıkrası tarafından korunduğunu ileri sürmüştür. Mahkeme, bu konuda öncelikle </w:t>
      </w:r>
      <w:proofErr w:type="spellStart"/>
      <w:r w:rsidRPr="007D6614">
        <w:rPr>
          <w:rFonts w:ascii="Times New Roman" w:eastAsia="Times New Roman" w:hAnsi="Times New Roman" w:cs="Microsoft Himalaya"/>
          <w:iCs/>
          <w:sz w:val="20"/>
          <w:szCs w:val="24"/>
        </w:rPr>
        <w:t>başvurucuun</w:t>
      </w:r>
      <w:proofErr w:type="spellEnd"/>
      <w:r w:rsidRPr="007D6614">
        <w:rPr>
          <w:rFonts w:ascii="Times New Roman" w:eastAsia="Times New Roman" w:hAnsi="Times New Roman" w:cs="Microsoft Himalaya"/>
          <w:iCs/>
          <w:sz w:val="20"/>
          <w:szCs w:val="24"/>
        </w:rPr>
        <w:t xml:space="preserve"> suçlandığı ve tutuklanmasına neden olan konuşmaların Anayasa'nın 83. maddesinin birinci fıkrasında öngörüldüğü üzere meclis sorumluluğunda olup olmadığının belirlenmesinin ulusal makamların ve özellikle yerel mahkemelerin görevi olduğu kanaatindedir. Bu bağlamda Mahkeme, ulusal makamların herhangi bir yetkinin kötüye kullanılmasını önlemek için “adli bir inceleme yapma” </w:t>
      </w:r>
      <w:proofErr w:type="spellStart"/>
      <w:r w:rsidRPr="007D6614">
        <w:rPr>
          <w:rFonts w:ascii="Times New Roman" w:eastAsia="Times New Roman" w:hAnsi="Times New Roman" w:cs="Microsoft Himalaya"/>
          <w:iCs/>
          <w:sz w:val="20"/>
          <w:szCs w:val="24"/>
        </w:rPr>
        <w:t>usuli</w:t>
      </w:r>
      <w:proofErr w:type="spellEnd"/>
      <w:r w:rsidRPr="007D6614">
        <w:rPr>
          <w:rFonts w:ascii="Times New Roman" w:eastAsia="Times New Roman" w:hAnsi="Times New Roman" w:cs="Microsoft Himalaya"/>
          <w:iCs/>
          <w:sz w:val="20"/>
          <w:szCs w:val="24"/>
        </w:rPr>
        <w:t xml:space="preserve"> yükümlülüğü olduğunu yinelemektedir (bakınız yukarıda anılan </w:t>
      </w:r>
      <w:proofErr w:type="spellStart"/>
      <w:r w:rsidRPr="007D6614">
        <w:rPr>
          <w:rFonts w:ascii="Times New Roman" w:eastAsia="Times New Roman" w:hAnsi="Times New Roman" w:cs="Microsoft Himalaya"/>
          <w:i/>
          <w:sz w:val="20"/>
          <w:szCs w:val="24"/>
        </w:rPr>
        <w:t>Karácsony</w:t>
      </w:r>
      <w:proofErr w:type="spellEnd"/>
      <w:r w:rsidRPr="007D6614">
        <w:rPr>
          <w:rFonts w:ascii="Times New Roman" w:eastAsia="Times New Roman" w:hAnsi="Times New Roman" w:cs="Microsoft Himalaya"/>
          <w:i/>
          <w:sz w:val="20"/>
          <w:szCs w:val="24"/>
        </w:rPr>
        <w:t xml:space="preserve"> ve diğerleri</w:t>
      </w:r>
      <w:r w:rsidRPr="007D6614">
        <w:rPr>
          <w:rFonts w:ascii="Times New Roman" w:eastAsia="Times New Roman" w:hAnsi="Times New Roman" w:cs="Microsoft Himalaya"/>
          <w:iCs/>
          <w:sz w:val="20"/>
          <w:szCs w:val="24"/>
        </w:rPr>
        <w:t>, §§ 133-36 ve burada anılan kararlar)."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Başvurucunun bu konudaki iddiasının ne yerel mahkemeler ne de bu Mahkeme önünde yeterince kanıtlandığını not ediyorum. Özellikle, başvurucu, Millet Meclisi’nin çalışmaları sırasında yaptığı önceki ifadelerinden sözlü alıntılarla iddialarını doğrulamamıştır. Yerel düzeydeki </w:t>
      </w:r>
      <w:r w:rsidRPr="007D6614">
        <w:rPr>
          <w:rFonts w:ascii="Times New Roman" w:eastAsia="Times New Roman" w:hAnsi="Times New Roman" w:cs="Microsoft Himalaya"/>
          <w:sz w:val="24"/>
          <w:szCs w:val="24"/>
        </w:rPr>
        <w:lastRenderedPageBreak/>
        <w:t>savunmalarında, belirsiz bir şekilde “2008 ve 2016 yılları arasında yapmış olduğu konuşmalara” atıfta bulunmuştur (bakınız kararın 91. paragrafı). Bu nedenle, yetkililerin bu konuyu yeterince ele almadıkları görüşüne katılmak zordur.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6</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Mevcut davada, başvurucunun ifade özgürlüğüne müdahale, ceza kovuşturmasından ibarettir. Yasama dokunulmazlığının kaldırılması, başlı başına bir milletvekilinin ifade özgürlüğüne bir müdahale değildir. Bununla birlikte, ceza yargılamasının başlatılmasına </w:t>
      </w:r>
      <w:r w:rsidR="00DA1D16">
        <w:rPr>
          <w:rFonts w:ascii="Times New Roman" w:eastAsia="Times New Roman" w:hAnsi="Times New Roman" w:cs="Microsoft Himalaya"/>
          <w:sz w:val="24"/>
          <w:szCs w:val="24"/>
        </w:rPr>
        <w:t>imkân</w:t>
      </w:r>
      <w:r w:rsidRPr="007D6614">
        <w:rPr>
          <w:rFonts w:ascii="Times New Roman" w:eastAsia="Times New Roman" w:hAnsi="Times New Roman" w:cs="Microsoft Himalaya"/>
          <w:sz w:val="24"/>
          <w:szCs w:val="24"/>
        </w:rPr>
        <w:t xml:space="preserve"> verdiği için, ihtilaf konusu müdahaleyle yakından bağlantılıdır ve onun ayrılmaz bir unsuru olarak görülebilir.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Mevcut dava, “</w:t>
      </w:r>
      <w:r w:rsidRPr="007D6614">
        <w:rPr>
          <w:rFonts w:ascii="Times New Roman" w:eastAsia="Times New Roman" w:hAnsi="Times New Roman" w:cs="Microsoft Himalaya"/>
          <w:i/>
          <w:iCs/>
          <w:sz w:val="24"/>
          <w:szCs w:val="24"/>
        </w:rPr>
        <w:t>kurucu iktidar</w:t>
      </w:r>
      <w:r w:rsidRPr="007D6614">
        <w:rPr>
          <w:rFonts w:ascii="Times New Roman" w:eastAsia="Times New Roman" w:hAnsi="Times New Roman" w:cs="Microsoft Himalaya"/>
          <w:sz w:val="24"/>
          <w:szCs w:val="24"/>
        </w:rPr>
        <w:t xml:space="preserve">” ile Sözleşme arasındaki ilişkiye ilişkin önemli konuları gündeme getirmektedir. </w:t>
      </w:r>
      <w:proofErr w:type="gramStart"/>
      <w:r w:rsidRPr="007D6614">
        <w:rPr>
          <w:rFonts w:ascii="Times New Roman" w:eastAsia="Times New Roman" w:hAnsi="Times New Roman" w:cs="Microsoft Himalaya"/>
          <w:sz w:val="24"/>
          <w:szCs w:val="24"/>
        </w:rPr>
        <w:t xml:space="preserve">Yasama organının her halükarda dokunulmazlığın efendisi olduğu iddiası Anayasa'nın geçici 20. maddesinin savunmasında ileri sürülebilirken, bununla birlikte, mevcut dava bağlamında bir anayasa kuralının uygulanmasını geçici olarak askıya alan bu hükmün hukuk devletinin hukuk üstü (pozitif üstü) standartlarıyla uzlaştırılmasının zor olduğu görüşüne katılıyorum ve bu bağlamda ifade edilen eleştirel değerlendirmelere katılıyorum. </w:t>
      </w:r>
      <w:proofErr w:type="gramEnd"/>
      <w:r w:rsidRPr="007D6614">
        <w:rPr>
          <w:rFonts w:ascii="Times New Roman" w:eastAsia="Times New Roman" w:hAnsi="Times New Roman" w:cs="Microsoft Himalaya"/>
          <w:sz w:val="24"/>
          <w:szCs w:val="24"/>
        </w:rPr>
        <w:t>Aynı zamanda fikrimce, ihtilaf konusu anayasa reformlarını sanki kendileri de ifade özgürlüğünden "izole edilmiş" ve bağımsız bir müdahaleymiş gibi müdahaleden bir bütün olarak çıkarmaya çalışmak ve bunların Sözleşme'nin 10.maddesinin 2.fıkrası gereklerine uygunluğunu ayrı ayrı değerlendirmek sorunludur. Daha önemlisi, Mahkeme’nin bu değerlendirme amacıyla Türk</w:t>
      </w:r>
      <w:r w:rsidR="00FC42A3">
        <w:rPr>
          <w:rFonts w:ascii="Times New Roman" w:eastAsia="Times New Roman" w:hAnsi="Times New Roman" w:cs="Microsoft Himalaya"/>
          <w:sz w:val="24"/>
          <w:szCs w:val="24"/>
        </w:rPr>
        <w:t>iye</w:t>
      </w:r>
      <w:r w:rsidRPr="007D6614">
        <w:rPr>
          <w:rFonts w:ascii="Times New Roman" w:eastAsia="Times New Roman" w:hAnsi="Times New Roman" w:cs="Microsoft Himalaya"/>
          <w:sz w:val="24"/>
          <w:szCs w:val="24"/>
        </w:rPr>
        <w:t xml:space="preserve"> Anayasası’ndan çıkardığı meşru beklentilerin niteliği ve kapsamı ve aynı zamanda bu amaç için uygulanan </w:t>
      </w:r>
      <w:proofErr w:type="gramStart"/>
      <w:r w:rsidRPr="007D6614">
        <w:rPr>
          <w:rFonts w:ascii="Times New Roman" w:eastAsia="Times New Roman" w:hAnsi="Times New Roman" w:cs="Microsoft Himalaya"/>
          <w:sz w:val="24"/>
          <w:szCs w:val="24"/>
        </w:rPr>
        <w:t>metodoloji</w:t>
      </w:r>
      <w:proofErr w:type="gramEnd"/>
      <w:r w:rsidRPr="007D6614">
        <w:rPr>
          <w:rFonts w:ascii="Times New Roman" w:eastAsia="Times New Roman" w:hAnsi="Times New Roman" w:cs="Microsoft Himalaya"/>
          <w:sz w:val="24"/>
          <w:szCs w:val="24"/>
        </w:rPr>
        <w:t xml:space="preserve"> sorgulanabilir. Çoğunluk, kararın 269. paragrafında aşağıdaki bakış açısını ifade etmektedir: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"Mahkeme’nin görüşüne göre, Türk yasama uygulamalarını ve geleneklerini göz önünde bulundurarak, bir milletvekili, görev süresi boyunca böyle bir </w:t>
      </w:r>
      <w:proofErr w:type="gramStart"/>
      <w:r w:rsidRPr="007D6614">
        <w:rPr>
          <w:rFonts w:ascii="Times New Roman" w:eastAsia="Times New Roman" w:hAnsi="Times New Roman" w:cs="Microsoft Himalaya"/>
          <w:sz w:val="20"/>
          <w:szCs w:val="24"/>
        </w:rPr>
        <w:t>prosedürün</w:t>
      </w:r>
      <w:proofErr w:type="gramEnd"/>
      <w:r w:rsidRPr="007D6614">
        <w:rPr>
          <w:rFonts w:ascii="Times New Roman" w:eastAsia="Times New Roman" w:hAnsi="Times New Roman" w:cs="Microsoft Himalaya"/>
          <w:sz w:val="20"/>
          <w:szCs w:val="24"/>
        </w:rPr>
        <w:t xml:space="preserve"> başlatılmasını ve dolayısıyla Millet Meclisi üyelerinin ifade özgürlüğünü zayıflatacağını makul olarak bekleyemezdi."</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İtiraz edilen reformların Türk yasama usulünden ve geleneklerinden ayrıldığı görüşü temelsiz görünmemektedir ancak yukarıda alıntılanan mutlak iddia bundan çok daha öteye gitmekte ve kapsamlı bir gerekçelendirme gerektirmektedir. Türk</w:t>
      </w:r>
      <w:r w:rsidR="00FC42A3">
        <w:rPr>
          <w:rFonts w:ascii="Times New Roman" w:eastAsia="Times New Roman" w:hAnsi="Times New Roman" w:cs="Microsoft Himalaya"/>
          <w:sz w:val="24"/>
          <w:szCs w:val="24"/>
        </w:rPr>
        <w:t>iye</w:t>
      </w:r>
      <w:r w:rsidRPr="007D6614">
        <w:rPr>
          <w:rFonts w:ascii="Times New Roman" w:eastAsia="Times New Roman" w:hAnsi="Times New Roman" w:cs="Microsoft Himalaya"/>
          <w:sz w:val="24"/>
          <w:szCs w:val="24"/>
        </w:rPr>
        <w:t xml:space="preserve"> anayasal sistemi hakkında böylesine güçlü bir açıklama yapmak için, ulusal yasama usullerini ve geleneğini, hukuki statü ve içeriğinden başlayarak, önceden ayrıntılı olarak incelemek gerekiyordu. Türk yasama usulünün ve geleneğinin, bu tür uygulama ve geleneklerin hukuk kaynağı olarak tanınan yazılı olmayan hukuk ilkeleriyle örtüşmediği ölçüde, yasal olarak korunan beklentilerin kaynağı olabileceğinden emin değilim. Bu nedenle, Türkiye'deki “kurucu </w:t>
      </w:r>
      <w:proofErr w:type="spellStart"/>
      <w:r w:rsidRPr="007D6614">
        <w:rPr>
          <w:rFonts w:ascii="Times New Roman" w:eastAsia="Times New Roman" w:hAnsi="Times New Roman" w:cs="Microsoft Himalaya"/>
          <w:sz w:val="24"/>
          <w:szCs w:val="24"/>
        </w:rPr>
        <w:lastRenderedPageBreak/>
        <w:t>iktidar”ın</w:t>
      </w:r>
      <w:proofErr w:type="spellEnd"/>
      <w:r w:rsidRPr="007D6614">
        <w:rPr>
          <w:rFonts w:ascii="Times New Roman" w:eastAsia="Times New Roman" w:hAnsi="Times New Roman" w:cs="Microsoft Himalaya"/>
          <w:sz w:val="24"/>
          <w:szCs w:val="24"/>
        </w:rPr>
        <w:t xml:space="preserve"> kullanılmasına ilişkin ulusal hukuk sisteminde tanınan tüm yazılı ve yazılı olmayan anayasal sınırlamaların derinlemesine incelenmesi gerekliydi. Benimsenen yaklaşım çerçevesinde, yasama usulü ve geleneği Türk</w:t>
      </w:r>
      <w:r w:rsidR="00FC42A3">
        <w:rPr>
          <w:rFonts w:ascii="Times New Roman" w:eastAsia="Times New Roman" w:hAnsi="Times New Roman" w:cs="Microsoft Himalaya"/>
          <w:sz w:val="24"/>
          <w:szCs w:val="24"/>
        </w:rPr>
        <w:t>iye</w:t>
      </w:r>
      <w:r w:rsidRPr="007D6614">
        <w:rPr>
          <w:rFonts w:ascii="Times New Roman" w:eastAsia="Times New Roman" w:hAnsi="Times New Roman" w:cs="Microsoft Himalaya"/>
          <w:sz w:val="24"/>
          <w:szCs w:val="24"/>
        </w:rPr>
        <w:t xml:space="preserve"> anayasa hukukunun kaynağı haline gelmektedir.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Mahkemece benimsenen görüş 270. paragrafta belirtilmiştir (vurgu eklendi):</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“Mahkemenin içtihadı, öngörülebilirlik şartının, bireyin ilgili mevzuatın lafzından ve gerekirse mahkemelerin yorumunun yardımıyla, </w:t>
      </w:r>
      <w:r w:rsidRPr="007D6614">
        <w:rPr>
          <w:rFonts w:ascii="Times New Roman" w:eastAsia="Times New Roman" w:hAnsi="Times New Roman" w:cs="Microsoft Himalaya"/>
          <w:b/>
          <w:bCs/>
          <w:sz w:val="20"/>
          <w:szCs w:val="24"/>
        </w:rPr>
        <w:t>hangi eylemler ve ihmaller onu cezai sorumluluk altına sokacağını</w:t>
      </w:r>
      <w:r w:rsidRPr="007D6614">
        <w:rPr>
          <w:rFonts w:ascii="Times New Roman" w:eastAsia="Times New Roman" w:hAnsi="Times New Roman" w:cs="Microsoft Himalaya"/>
          <w:sz w:val="20"/>
          <w:szCs w:val="24"/>
        </w:rPr>
        <w:t xml:space="preserve"> öğrenebileceği durumlarda sağlanacağını göstermektedir: (bkz. Güler ve Uğur, yukarıda anılan, § 50 ve </w:t>
      </w:r>
      <w:proofErr w:type="spellStart"/>
      <w:r w:rsidRPr="007D6614">
        <w:rPr>
          <w:rFonts w:ascii="Times New Roman" w:eastAsia="Times New Roman" w:hAnsi="Times New Roman" w:cs="Microsoft Himalaya"/>
          <w:sz w:val="20"/>
          <w:szCs w:val="24"/>
        </w:rPr>
        <w:t>Kudrevičius</w:t>
      </w:r>
      <w:proofErr w:type="spellEnd"/>
      <w:r w:rsidRPr="007D6614">
        <w:rPr>
          <w:rFonts w:ascii="Times New Roman" w:eastAsia="Times New Roman" w:hAnsi="Times New Roman" w:cs="Microsoft Himalaya"/>
          <w:sz w:val="20"/>
          <w:szCs w:val="24"/>
        </w:rPr>
        <w:t xml:space="preserve"> ve Diğerleri, yukarıda anılan, § 108). </w:t>
      </w:r>
      <w:proofErr w:type="gramStart"/>
      <w:r w:rsidRPr="007D6614">
        <w:rPr>
          <w:rFonts w:ascii="Times New Roman" w:eastAsia="Times New Roman" w:hAnsi="Times New Roman" w:cs="Microsoft Himalaya"/>
          <w:sz w:val="20"/>
          <w:szCs w:val="24"/>
        </w:rPr>
        <w:t xml:space="preserve">Mevcut davada, Anayasanın 83.maddesinin ilk iki fıkrasının lafzını ve bu hükmün ulusal mahkemelerce yorumlanmasını veya daha doğrusu eksikliğini göz önünde bulundurarak, Mahkeme, başvurucunun ifade özgürlüğünün kullanımına yönelik müdahalenin, öngörülebilirlik şartını karşılamadığı için 'kanunla öngörülmediğini', </w:t>
      </w:r>
      <w:r w:rsidRPr="007D6614">
        <w:rPr>
          <w:rFonts w:ascii="Times New Roman" w:eastAsia="Times New Roman" w:hAnsi="Times New Roman" w:cs="Microsoft Himalaya"/>
          <w:b/>
          <w:bCs/>
          <w:sz w:val="20"/>
          <w:szCs w:val="24"/>
        </w:rPr>
        <w:t>siyasi bir bakış açısını savunurken, başvurucu meşru olarak, siyasi konuşma ve anayasal usule ilişkin güvenceler için dokunulmazlığın korunmasını sağlayan yürürlükteki anayasal yasal çerçeveden yararlanmayı bekleyebileceğini</w:t>
      </w:r>
      <w:r w:rsidRPr="007D6614">
        <w:rPr>
          <w:rFonts w:ascii="Times New Roman" w:eastAsia="Times New Roman" w:hAnsi="Times New Roman" w:cs="Microsoft Himalaya"/>
          <w:sz w:val="20"/>
          <w:szCs w:val="24"/>
        </w:rPr>
        <w:t xml:space="preserve"> değerlendirmektedir (bakınız kıyasen, </w:t>
      </w:r>
      <w:proofErr w:type="spellStart"/>
      <w:r w:rsidRPr="007D6614">
        <w:rPr>
          <w:rFonts w:ascii="Times New Roman" w:eastAsia="Times New Roman" w:hAnsi="Times New Roman" w:cs="Microsoft Himalaya"/>
          <w:i/>
          <w:iCs/>
          <w:sz w:val="20"/>
          <w:szCs w:val="24"/>
        </w:rPr>
        <w:t>Lykourezos</w:t>
      </w:r>
      <w:proofErr w:type="spellEnd"/>
      <w:r w:rsidRPr="007D6614">
        <w:rPr>
          <w:rFonts w:ascii="Times New Roman" w:eastAsia="Times New Roman" w:hAnsi="Times New Roman" w:cs="Microsoft Himalaya"/>
          <w:i/>
          <w:iCs/>
          <w:sz w:val="20"/>
          <w:szCs w:val="24"/>
        </w:rPr>
        <w:t xml:space="preserve"> v. Yunanistan</w:t>
      </w:r>
      <w:r w:rsidRPr="007D6614">
        <w:rPr>
          <w:rFonts w:ascii="Times New Roman" w:eastAsia="Times New Roman" w:hAnsi="Times New Roman" w:cs="Microsoft Himalaya"/>
          <w:sz w:val="20"/>
          <w:szCs w:val="24"/>
        </w:rPr>
        <w:t xml:space="preserve">, </w:t>
      </w:r>
      <w:proofErr w:type="spellStart"/>
      <w:r w:rsidRPr="007D6614">
        <w:rPr>
          <w:rFonts w:ascii="Times New Roman" w:eastAsia="Times New Roman" w:hAnsi="Times New Roman" w:cs="Microsoft Himalaya"/>
          <w:sz w:val="20"/>
          <w:szCs w:val="24"/>
        </w:rPr>
        <w:t>no</w:t>
      </w:r>
      <w:proofErr w:type="spellEnd"/>
      <w:r w:rsidRPr="007D6614">
        <w:rPr>
          <w:rFonts w:ascii="Times New Roman" w:eastAsia="Times New Roman" w:hAnsi="Times New Roman" w:cs="Microsoft Himalaya"/>
          <w:sz w:val="20"/>
          <w:szCs w:val="24"/>
        </w:rPr>
        <w:t>. 33554/03, §§ 54-56, ECHR 2006-VIII).”</w:t>
      </w:r>
      <w:proofErr w:type="gramEnd"/>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Gerekçenin bu kısmı aşağıdaki çekinceleri tetiklemektedir. İlk olarak, gerekçelendirme, Mahkeme'nin içtihadının, bireyin ilgili mevzuatın lafzından ve gerekirse, mahkemelerin yorumlamasının yardımıyla, hangi eylemlerin ve kusurların onu cezai olarak sorumlu kılınacağını öğrenebildiği durumlarda öngörülebilirlik şartının yerine getirildiğini gösterdiğini çok doğru bir şekilde ileri sürmektedir. Hangi eylemlerin ve kusurların onu cezai açıdan sorumlu kıldığı, usul hukukuna ve kesinlikle </w:t>
      </w:r>
      <w:proofErr w:type="spellStart"/>
      <w:r w:rsidRPr="007D6614">
        <w:rPr>
          <w:rFonts w:ascii="Times New Roman" w:eastAsia="Times New Roman" w:hAnsi="Times New Roman" w:cs="Microsoft Himalaya"/>
          <w:sz w:val="24"/>
          <w:szCs w:val="24"/>
        </w:rPr>
        <w:t>usuli</w:t>
      </w:r>
      <w:proofErr w:type="spellEnd"/>
      <w:r w:rsidRPr="007D6614">
        <w:rPr>
          <w:rFonts w:ascii="Times New Roman" w:eastAsia="Times New Roman" w:hAnsi="Times New Roman" w:cs="Microsoft Himalaya"/>
          <w:sz w:val="24"/>
          <w:szCs w:val="24"/>
        </w:rPr>
        <w:t xml:space="preserve"> dokunulmazlığın kapsamına değil, maddi hukuka bağlıdır. Anayasa'nın geçici 20. maddesinin kabul edilmesi, başvurucuyu cezai sorumluluk altına alacak eylem ve kusurları değiştirmemiştir.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İkinci olarak, bununla bağlantılı olarak, yasama dokunulmazlığının usul hukuku düzleminde işlediğini not ediyorum. Özel </w:t>
      </w:r>
      <w:proofErr w:type="spellStart"/>
      <w:r w:rsidRPr="007D6614">
        <w:rPr>
          <w:rFonts w:ascii="Times New Roman" w:eastAsia="Times New Roman" w:hAnsi="Times New Roman" w:cs="Microsoft Himalaya"/>
          <w:sz w:val="24"/>
          <w:szCs w:val="24"/>
        </w:rPr>
        <w:t>usuli</w:t>
      </w:r>
      <w:proofErr w:type="spellEnd"/>
      <w:r w:rsidRPr="007D6614">
        <w:rPr>
          <w:rFonts w:ascii="Times New Roman" w:eastAsia="Times New Roman" w:hAnsi="Times New Roman" w:cs="Microsoft Himalaya"/>
          <w:sz w:val="24"/>
          <w:szCs w:val="24"/>
        </w:rPr>
        <w:t xml:space="preserve"> güvencelerden ve daha doğrusu, bir milletvekilini tutuklamak, sorgulamak, alıkoymak veya yargılamak için yetki alma gerekliliğinden oluşur. Bu usule ilişkin düzenlemelerin, asli meşru beklentilerin kaynağı ve ifade özgürlüğünün nasıl kullanılacağının planlanması için bir temel olabileceğine ikna olmadım. Bu bağlamda, Sözleşme'nin 7. maddesine ilişkin içtihat kapsamında usul kurallarının ilgili olduğunu ve cezanın ciddiyetini etkiledikleri ölçüde bu maddenin kapsamına girdiğini gözlemliyorum (bakınız </w:t>
      </w:r>
      <w:proofErr w:type="spellStart"/>
      <w:r w:rsidRPr="007D6614">
        <w:rPr>
          <w:rFonts w:ascii="Times New Roman" w:eastAsia="Times New Roman" w:hAnsi="Times New Roman" w:cs="Microsoft Himalaya"/>
          <w:i/>
          <w:iCs/>
          <w:sz w:val="24"/>
          <w:szCs w:val="24"/>
        </w:rPr>
        <w:t>Scoppola</w:t>
      </w:r>
      <w:proofErr w:type="spellEnd"/>
      <w:r w:rsidRPr="007D6614">
        <w:rPr>
          <w:rFonts w:ascii="Times New Roman" w:eastAsia="Times New Roman" w:hAnsi="Times New Roman" w:cs="Microsoft Himalaya"/>
          <w:i/>
          <w:iCs/>
          <w:sz w:val="24"/>
          <w:szCs w:val="24"/>
        </w:rPr>
        <w:t xml:space="preserve"> v. İtalya (</w:t>
      </w:r>
      <w:proofErr w:type="spellStart"/>
      <w:r w:rsidRPr="007D6614">
        <w:rPr>
          <w:rFonts w:ascii="Times New Roman" w:eastAsia="Times New Roman" w:hAnsi="Times New Roman" w:cs="Microsoft Himalaya"/>
          <w:i/>
          <w:iCs/>
          <w:sz w:val="24"/>
          <w:szCs w:val="24"/>
        </w:rPr>
        <w:t>no</w:t>
      </w:r>
      <w:proofErr w:type="spellEnd"/>
      <w:r w:rsidRPr="007D6614">
        <w:rPr>
          <w:rFonts w:ascii="Times New Roman" w:eastAsia="Times New Roman" w:hAnsi="Times New Roman" w:cs="Microsoft Himalaya"/>
          <w:i/>
          <w:iCs/>
          <w:sz w:val="24"/>
          <w:szCs w:val="24"/>
        </w:rPr>
        <w:t xml:space="preserve">. 2) </w:t>
      </w:r>
      <w:r w:rsidRPr="007D6614">
        <w:rPr>
          <w:rFonts w:ascii="Times New Roman" w:eastAsia="Times New Roman" w:hAnsi="Times New Roman" w:cs="Microsoft Himalaya"/>
          <w:sz w:val="24"/>
          <w:szCs w:val="24"/>
        </w:rPr>
        <w:t xml:space="preserve">[BD],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10249/03, §§ 110-13, 17 Eylül 2009; </w:t>
      </w:r>
      <w:proofErr w:type="spellStart"/>
      <w:r w:rsidRPr="007D6614">
        <w:rPr>
          <w:rFonts w:ascii="Times New Roman" w:eastAsia="Times New Roman" w:hAnsi="Times New Roman" w:cs="Microsoft Himalaya"/>
          <w:i/>
          <w:iCs/>
          <w:sz w:val="24"/>
          <w:szCs w:val="24"/>
        </w:rPr>
        <w:t>Coëme</w:t>
      </w:r>
      <w:proofErr w:type="spellEnd"/>
      <w:r w:rsidRPr="007D6614">
        <w:rPr>
          <w:rFonts w:ascii="Times New Roman" w:eastAsia="Times New Roman" w:hAnsi="Times New Roman" w:cs="Microsoft Himalaya"/>
          <w:i/>
          <w:iCs/>
          <w:sz w:val="24"/>
          <w:szCs w:val="24"/>
        </w:rPr>
        <w:t xml:space="preserve"> ve diğerleri v. Belçika</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32492/96 ve diğer 4’ü, § 149, </w:t>
      </w:r>
      <w:r w:rsidRPr="007D6614">
        <w:rPr>
          <w:rFonts w:ascii="Times New Roman" w:eastAsia="Times New Roman" w:hAnsi="Times New Roman" w:cs="Microsoft Himalaya"/>
          <w:sz w:val="24"/>
          <w:szCs w:val="24"/>
        </w:rPr>
        <w:lastRenderedPageBreak/>
        <w:t>ECHR 2000-</w:t>
      </w:r>
      <w:proofErr w:type="gramStart"/>
      <w:r w:rsidRPr="007D6614">
        <w:rPr>
          <w:rFonts w:ascii="Times New Roman" w:eastAsia="Times New Roman" w:hAnsi="Times New Roman" w:cs="Microsoft Himalaya"/>
          <w:sz w:val="24"/>
          <w:szCs w:val="24"/>
        </w:rPr>
        <w:t>VII;</w:t>
      </w:r>
      <w:proofErr w:type="gramEnd"/>
      <w:r w:rsidRPr="007D6614">
        <w:rPr>
          <w:rFonts w:ascii="Times New Roman" w:eastAsia="Times New Roman" w:hAnsi="Times New Roman" w:cs="Microsoft Himalaya"/>
          <w:sz w:val="24"/>
          <w:szCs w:val="24"/>
        </w:rPr>
        <w:t xml:space="preserve"> ve </w:t>
      </w:r>
      <w:proofErr w:type="spellStart"/>
      <w:r w:rsidRPr="007D6614">
        <w:rPr>
          <w:rFonts w:ascii="Times New Roman" w:eastAsia="Times New Roman" w:hAnsi="Times New Roman" w:cs="Microsoft Himalaya"/>
          <w:i/>
          <w:iCs/>
          <w:sz w:val="24"/>
          <w:szCs w:val="24"/>
        </w:rPr>
        <w:t>Previti</w:t>
      </w:r>
      <w:proofErr w:type="spellEnd"/>
      <w:r w:rsidRPr="007D6614">
        <w:rPr>
          <w:rFonts w:ascii="Times New Roman" w:eastAsia="Times New Roman" w:hAnsi="Times New Roman" w:cs="Microsoft Himalaya"/>
          <w:i/>
          <w:iCs/>
          <w:sz w:val="24"/>
          <w:szCs w:val="24"/>
        </w:rPr>
        <w:t xml:space="preserve"> v. İtalya (kek.),</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1845/08, §§ 79-85, 12 Şubat 2013).</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Üçüncüsü, başvurucunun yasal olarak yürürlükteki anayasal hukuki çerçeveden yararlanmayı meşru bir şekilde bekleyebileceğine ikna olmadım. Başlangıç noktası, </w:t>
      </w:r>
      <w:r w:rsidRPr="007D6614">
        <w:rPr>
          <w:rFonts w:ascii="Times New Roman" w:eastAsia="Times New Roman" w:hAnsi="Times New Roman" w:cs="Microsoft Himalaya"/>
          <w:i/>
          <w:iCs/>
          <w:sz w:val="24"/>
          <w:szCs w:val="24"/>
        </w:rPr>
        <w:t xml:space="preserve">kurucu iktidarın </w:t>
      </w:r>
      <w:r w:rsidRPr="007D6614">
        <w:rPr>
          <w:rFonts w:ascii="Times New Roman" w:eastAsia="Times New Roman" w:hAnsi="Times New Roman" w:cs="Microsoft Himalaya"/>
          <w:sz w:val="24"/>
          <w:szCs w:val="24"/>
        </w:rPr>
        <w:t>egemen olduğu ve herhangi bir zamanda anayasal değişiklikler getirebileceği varsayımıdır. Hukukun üstünlüğüne uygun olarak yapılan anayasa değişiklikleri öngörülebilirlik şartını nadiren karşılar. Anayasa, anayasal düzenin değişmeyeceği beklentisine temel oluşturamaz. Anayasa, ancak anayasaya aykırı değişikliklerin kabul edilmeyeceğine dair meşru bir beklentinin temeli olabilir. Bu iki beklenti aynı değildir.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Dördüncü olarak, meşru özel beklentiler esas olarak özel çıkarları koruyan yasal kurallara dayanır. Kamu çıkarlarını koruyan yasal kurallar sürekli olarak değerlendirilmeli ve yeniden değerlendirilmelidir ve bu çıkarları daha iyi korumak için ayarlanabilir. Beklentilerini kamu yararı kurallarına dayandıran bireyler bu özelliği dikkate almalıdır. Bu nedenle, kamu yararı hukuk kurallarına dayanan özel beklentilerin meşruiyeti, özel çıkarları koruyan yasal kurallara dayanan özel beklentilerden zorunlu olarak daha zayıftır. Bu, özellikle, Meclis’in işleyişini ve genel olarak anayasal demokrasiyi korumak için, milletvekillerinin kişisel tatminlerini sağlamak veya diğer özel menfaatlerini korumak için - yukarıda açıklandığı üzere - verilen usulle yasama dokunulmazlığına ilişkin kurallar için geçerlidir. Özel beklentilerini </w:t>
      </w:r>
      <w:proofErr w:type="spellStart"/>
      <w:r w:rsidRPr="007D6614">
        <w:rPr>
          <w:rFonts w:ascii="Times New Roman" w:eastAsia="Times New Roman" w:hAnsi="Times New Roman" w:cs="Microsoft Himalaya"/>
          <w:sz w:val="24"/>
          <w:szCs w:val="24"/>
        </w:rPr>
        <w:t>usuli</w:t>
      </w:r>
      <w:proofErr w:type="spellEnd"/>
      <w:r w:rsidRPr="007D6614">
        <w:rPr>
          <w:rFonts w:ascii="Times New Roman" w:eastAsia="Times New Roman" w:hAnsi="Times New Roman" w:cs="Microsoft Himalaya"/>
          <w:sz w:val="24"/>
          <w:szCs w:val="24"/>
        </w:rPr>
        <w:t xml:space="preserve"> yasam dokunulmazlığına dayandıran kişiler, bu nedenle, ilgili yasal kuralların değiştirilebileceği gerçeğini her zaman dikkate almalıdır.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Beşinci olarak, Mahkemenin uzun süredir devam eden ve yerleşik içtihadına göre, ulusal hukukun yorumlanması ulusal makamların meselesidir (bakınız, örneğin, </w:t>
      </w:r>
      <w:proofErr w:type="spellStart"/>
      <w:r w:rsidRPr="007D6614">
        <w:rPr>
          <w:rFonts w:ascii="Times New Roman" w:eastAsia="Times New Roman" w:hAnsi="Times New Roman" w:cs="Microsoft Himalaya"/>
          <w:i/>
          <w:iCs/>
          <w:sz w:val="24"/>
          <w:szCs w:val="24"/>
        </w:rPr>
        <w:t>Cangı</w:t>
      </w:r>
      <w:proofErr w:type="spellEnd"/>
      <w:r w:rsidRPr="007D6614">
        <w:rPr>
          <w:rFonts w:ascii="Times New Roman" w:eastAsia="Times New Roman" w:hAnsi="Times New Roman" w:cs="Microsoft Himalaya"/>
          <w:i/>
          <w:iCs/>
          <w:sz w:val="24"/>
          <w:szCs w:val="24"/>
        </w:rPr>
        <w:t xml:space="preserve"> v. Türkiye</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24973/15, § 42, 29 Ocak 2019). Bu ilke, ulusal hukuk tarafından korunan ve doğrudan genel hukuk kurallarından kaynaklanan meşru beklentilerin belirlenmesi için geçerlidir (bireysel eylemlerden veya bireysel bir vakadaki diğer eylemlerden veya kusurlardan kaynaklanan beklentilerden farklı olarak). Bu tür beklentilerin varlığının belirlenmesi, iç hukukun geniş kapsamlı bir yorumunu gerektirir. Bu nedenle Mahkeme, bu konuda herhangi bir bağımsız tespit yapmaktan kaçınmalıdır.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Ayrık görüşümün bu bölümünü bitirmek amacıyla: benimsenen yaklaşım, iç hukukun yorumlanması ve uygulanması alanına çok derinlemesine girmekte ve bunları büyük ölçüde özel çıkarların korunmasına yönlendirerek kamu yararına yönelik hukuk kurallarına yeni </w:t>
      </w:r>
      <w:r w:rsidRPr="007D6614">
        <w:rPr>
          <w:rFonts w:ascii="Times New Roman" w:eastAsia="Times New Roman" w:hAnsi="Times New Roman" w:cs="Microsoft Himalaya"/>
          <w:sz w:val="24"/>
          <w:szCs w:val="24"/>
        </w:rPr>
        <w:lastRenderedPageBreak/>
        <w:t xml:space="preserve">bir amaç tahsis etmektedir. Yasama dokunulmazlıklarının özelleştirilmesini ve </w:t>
      </w:r>
      <w:r w:rsidRPr="007D6614">
        <w:rPr>
          <w:rFonts w:ascii="Times New Roman" w:eastAsia="Times New Roman" w:hAnsi="Times New Roman" w:cs="Microsoft Himalaya"/>
          <w:i/>
          <w:iCs/>
          <w:sz w:val="24"/>
          <w:szCs w:val="24"/>
        </w:rPr>
        <w:t>“insanlaştırılmasını”</w:t>
      </w:r>
      <w:r w:rsidRPr="007D6614">
        <w:rPr>
          <w:rFonts w:ascii="Times New Roman" w:eastAsia="Times New Roman" w:hAnsi="Times New Roman" w:cs="Microsoft Himalaya"/>
          <w:sz w:val="24"/>
          <w:szCs w:val="24"/>
        </w:rPr>
        <w:t xml:space="preserve"> gerektirir.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Dahası, gerekçeyi doğru anladıysam, belirtilmemiş temel varsayım şudur: Sözleşme hakları kapsamındaki faaliyetlere yönelik bir iddianameye ilişkin usul kurallarında olumsuz bir değişiklik, öngörülebilirlik gerekliliğine uyması gereken bu haklara bir müdahaledir. Bu konu, gerekçede çok daha derin bir değerlendirmeyi hak etmektedir.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Bununla birlikte, Sözleşme'nin 10. maddesindeki temel sorun, Ceza Kanunu'nun 314. maddesinin 1. ve 2. fıkralarında yatmaktadır. Bu hükümlerin net olmayan ifadeleri, Sözleşme'nin 10. maddesinin ihlal edildiğini tespit etmek için yeterli bir nedendir. İhtilaf konusu anayasa reformları, mevcut davanın genel arka planının kesinlikle önemli bir unsurudur (özellikle 18. madde ile ilgili), ancak bunların olumsuz değerlendirmeleri, 10. maddenin ihlal edildiğini tespit etmek için ne yeterli ne de gerekli bir gerekçedir.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7</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369 ve 370. paragraflarda Büyük Daire, Daire tarafından ifade edilen aşağıdaki görüşe katılmaktadır: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“...Mahkeme, Temmuz 2016'da olağanüstü hal ilanının ardından Anayasa Mahkemesi'nin istisnai dava yükünü dikkate almayı gerekli görmektedir. ...</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Yukarıdakilerin ışığında, Anayasa Mahkemesinin önündeki on üç ay ve dört günlük süre, olağan bir bağlamda 'hızlı' olarak nitelendirilemezse de, davanın özel koşullarında Mahkeme, Sözleşme'nin 5. maddesinin 4. fıkrası ihlalinin olmadığı kanaatindedir.”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Temmuz 2016'da olağanüstü hal ilanından sonra Anayasa Mahkemesi’nin istisnai dava yükünün dikkate alınmasının gerekli olduğunu kabul ediyorum, ancak bence Anayasa Mahkemesi önündeki on üç ay ve dört günlük yargılamanın süresi Sözleşme ile uyumlu değildir. Yetkililer, tutuklama kararlarının hızlı bir şekilde gözden geçirilmesini sağlayan yasaları çıkararak derhal tepki vermeliydi. Örneğin, bu konudaki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leri incelemek için olağan mahkemeleri yetkilendirebilirlerdi.</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Büyük Daire ayrıca aşağıdakileri de belirtir (bakınız kararın 366. paragrafı):</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w:t>
      </w:r>
      <w:r w:rsidRPr="007D6614">
        <w:rPr>
          <w:rFonts w:ascii="Times New Roman" w:eastAsia="Times New Roman" w:hAnsi="Times New Roman" w:cs="Microsoft Himalaya"/>
          <w:i/>
          <w:iCs/>
          <w:sz w:val="20"/>
          <w:szCs w:val="24"/>
        </w:rPr>
        <w:t>Mehmet Hasan Altan</w:t>
      </w:r>
      <w:r w:rsidRPr="007D6614">
        <w:rPr>
          <w:rFonts w:ascii="Times New Roman" w:eastAsia="Times New Roman" w:hAnsi="Times New Roman" w:cs="Microsoft Himalaya"/>
          <w:sz w:val="20"/>
          <w:szCs w:val="24"/>
        </w:rPr>
        <w:t xml:space="preserve"> (yukarıda anılan, § 159) ve </w:t>
      </w:r>
      <w:r w:rsidRPr="007D6614">
        <w:rPr>
          <w:rFonts w:ascii="Times New Roman" w:eastAsia="Times New Roman" w:hAnsi="Times New Roman" w:cs="Microsoft Himalaya"/>
          <w:i/>
          <w:iCs/>
          <w:sz w:val="20"/>
          <w:szCs w:val="24"/>
        </w:rPr>
        <w:t>Şahin Alpay</w:t>
      </w:r>
      <w:r w:rsidRPr="007D6614">
        <w:rPr>
          <w:rFonts w:ascii="Times New Roman" w:eastAsia="Times New Roman" w:hAnsi="Times New Roman" w:cs="Microsoft Himalaya"/>
          <w:sz w:val="20"/>
          <w:szCs w:val="24"/>
        </w:rPr>
        <w:t xml:space="preserve"> kararlarında (yukarıda anılan, § 131), Sözleşme'nin 5.</w:t>
      </w:r>
      <w:r w:rsidR="00FC42A3">
        <w:rPr>
          <w:rFonts w:ascii="Times New Roman" w:eastAsia="Times New Roman" w:hAnsi="Times New Roman" w:cs="Microsoft Himalaya"/>
          <w:sz w:val="20"/>
          <w:szCs w:val="24"/>
        </w:rPr>
        <w:t xml:space="preserve"> </w:t>
      </w:r>
      <w:r w:rsidRPr="007D6614">
        <w:rPr>
          <w:rFonts w:ascii="Times New Roman" w:eastAsia="Times New Roman" w:hAnsi="Times New Roman" w:cs="Microsoft Himalaya"/>
          <w:sz w:val="20"/>
          <w:szCs w:val="24"/>
        </w:rPr>
        <w:t>maddesinin 4.</w:t>
      </w:r>
      <w:r w:rsidR="00FC42A3">
        <w:rPr>
          <w:rFonts w:ascii="Times New Roman" w:eastAsia="Times New Roman" w:hAnsi="Times New Roman" w:cs="Microsoft Himalaya"/>
          <w:sz w:val="20"/>
          <w:szCs w:val="24"/>
        </w:rPr>
        <w:t xml:space="preserve"> </w:t>
      </w:r>
      <w:r w:rsidRPr="007D6614">
        <w:rPr>
          <w:rFonts w:ascii="Times New Roman" w:eastAsia="Times New Roman" w:hAnsi="Times New Roman" w:cs="Microsoft Himalaya"/>
          <w:sz w:val="20"/>
          <w:szCs w:val="24"/>
        </w:rPr>
        <w:t>fıkrasının Türk</w:t>
      </w:r>
      <w:r w:rsidR="00FC42A3">
        <w:rPr>
          <w:rFonts w:ascii="Times New Roman" w:eastAsia="Times New Roman" w:hAnsi="Times New Roman" w:cs="Microsoft Himalaya"/>
          <w:sz w:val="20"/>
          <w:szCs w:val="24"/>
        </w:rPr>
        <w:t>iye</w:t>
      </w:r>
      <w:r w:rsidRPr="007D6614">
        <w:rPr>
          <w:rFonts w:ascii="Times New Roman" w:eastAsia="Times New Roman" w:hAnsi="Times New Roman" w:cs="Microsoft Himalaya"/>
          <w:sz w:val="20"/>
          <w:szCs w:val="24"/>
        </w:rPr>
        <w:t xml:space="preserve"> Anayasa Mahkemesi önündeki yargılamalara uygulanabilir olduğu zaten tespit edilmiştir."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Başvurucu gibi bir kişiyi bir yerel mahkemenin tutukladığı bir durumda Sözleşme'nin 5. maddesinin 4. fıkrasının uygulanabilir olduğunu söylemek </w:t>
      </w:r>
      <w:r w:rsidRPr="007D6614">
        <w:rPr>
          <w:rFonts w:ascii="Times New Roman" w:eastAsia="Times New Roman" w:hAnsi="Times New Roman" w:cs="Microsoft Himalaya"/>
          <w:sz w:val="24"/>
          <w:szCs w:val="24"/>
        </w:rPr>
        <w:lastRenderedPageBreak/>
        <w:t xml:space="preserve">daha doğru olacaktır. Yetkililer, Anayasa Mahkemesi’ne veya diğer mahkemelere erişim izni vererek, bu hükümle sağlanan garantileri yerine getirmek zorundadır. Türk hukukunda sağlanan hukuk yolu Anayasa Mahkemesi’ne yapılan bir başvuru olduğundan, bu yerel mahkeme bu nedenle 5. maddenin 4. fıkrasında belirtilen </w:t>
      </w:r>
      <w:proofErr w:type="spellStart"/>
      <w:r w:rsidRPr="007D6614">
        <w:rPr>
          <w:rFonts w:ascii="Times New Roman" w:eastAsia="Times New Roman" w:hAnsi="Times New Roman" w:cs="Microsoft Himalaya"/>
          <w:sz w:val="24"/>
          <w:szCs w:val="24"/>
        </w:rPr>
        <w:t>süratlilik</w:t>
      </w:r>
      <w:proofErr w:type="spellEnd"/>
      <w:r w:rsidRPr="007D6614">
        <w:rPr>
          <w:rFonts w:ascii="Times New Roman" w:eastAsia="Times New Roman" w:hAnsi="Times New Roman" w:cs="Microsoft Himalaya"/>
          <w:sz w:val="24"/>
          <w:szCs w:val="24"/>
        </w:rPr>
        <w:t xml:space="preserve"> şartına uymalıdır.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8</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Hüküm kısmının 14. maddesinde Mahkeme, davalı Devlet’in başvurucunun derhal salıverilmesini sağlamak için gerekli tüm önlemleri alması gerektiğine karar verir. Hüküm kısmının 14. maddesi gerekçenin 440-42. paragrafları ve özellikle 442. paragrafta yer alan aşağıdaki önemli ifade bağlamında okunmalıdır.</w:t>
      </w:r>
    </w:p>
    <w:p w:rsidR="007D6614" w:rsidRPr="007D6614" w:rsidRDefault="007D6614" w:rsidP="007D6614">
      <w:pPr>
        <w:spacing w:before="120" w:after="120" w:line="240" w:lineRule="auto"/>
        <w:ind w:left="425" w:firstLine="142"/>
        <w:jc w:val="both"/>
        <w:rPr>
          <w:rFonts w:ascii="Times New Roman" w:eastAsia="Times New Roman" w:hAnsi="Times New Roman" w:cs="Microsoft Himalaya"/>
          <w:sz w:val="20"/>
          <w:szCs w:val="24"/>
        </w:rPr>
      </w:pPr>
      <w:r w:rsidRPr="007D6614">
        <w:rPr>
          <w:rFonts w:ascii="Times New Roman" w:eastAsia="Times New Roman" w:hAnsi="Times New Roman" w:cs="Microsoft Himalaya"/>
          <w:sz w:val="20"/>
          <w:szCs w:val="24"/>
        </w:rPr>
        <w:t xml:space="preserve">“Mevcut başvuru sahibi için, aynı olgusal bağlamla ilgili gerekçelerle tutukluluğunun devam etmesi, haklarının ihlalinin uzamasına ve davalı Devlet’in Sözleşme’nin 46. maddesinin 1. fıkrası uyarınca Mahkeme kararına uyma yükümlülüğünün ihlaline neden olacaktır.” </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Gerekçenin bu kısmı, bu nedenle hüküm kısmının 14. maddesinde örtük bir </w:t>
      </w:r>
      <w:r w:rsidRPr="007D6614">
        <w:rPr>
          <w:rFonts w:ascii="Times New Roman" w:eastAsia="Times New Roman" w:hAnsi="Times New Roman" w:cs="Microsoft Himalaya"/>
          <w:i/>
          <w:iCs/>
          <w:sz w:val="24"/>
          <w:szCs w:val="24"/>
        </w:rPr>
        <w:t>beklenmeyen hal şartı</w:t>
      </w:r>
      <w:r w:rsidRPr="007D6614">
        <w:rPr>
          <w:rFonts w:ascii="Times New Roman" w:eastAsia="Times New Roman" w:hAnsi="Times New Roman" w:cs="Microsoft Himalaya"/>
          <w:sz w:val="24"/>
          <w:szCs w:val="24"/>
        </w:rPr>
        <w:t xml:space="preserve"> olduğunu açıklar: Davalı Devlet’in, başvurucunun derhal salıverilmesini sağlamak için gerekli tüm tedbirleri alma yükümlülüğü, başvurucunun tutukluluğunu haklı çıkarabilecek istisnai yeni gerekçeler göz ardı edilemeyeceği için mutlak değildir. Bir yandan, yetkililer, başvurucu aleyhine yeni asılsız suçlamalar getirmeye çalışarak kararı engelleyemezler, öte yandan, mevcut karar, başvurucuya hakkında ceza yargılaması başlatılması ve tutuklu yargılanması için tam olarak haklı gerekçeler bulunsa bile, başvurucuya yargılamadan dokunulmazlık sağlandığı şeklinde yorumlanamaz. Bu nedenle, karar, değiştirilmiş bir olgusal bağlamla ilgili olarak -yetkililer tarafından usulüne uygun olarak doğrulanmış ve gerekçelendirilmiş- yeterli gerekçeye dayalı olarak tutukluluğu hariç tutmaz.</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roofErr w:type="gramStart"/>
      <w:r w:rsidRPr="007D6614">
        <w:rPr>
          <w:rFonts w:ascii="Times New Roman" w:eastAsia="Times New Roman" w:hAnsi="Times New Roman" w:cs="Microsoft Himalaya"/>
          <w:i/>
          <w:iCs/>
          <w:sz w:val="24"/>
          <w:szCs w:val="24"/>
        </w:rPr>
        <w:t xml:space="preserve">Ilgar </w:t>
      </w:r>
      <w:proofErr w:type="spellStart"/>
      <w:r w:rsidRPr="007D6614">
        <w:rPr>
          <w:rFonts w:ascii="Times New Roman" w:eastAsia="Times New Roman" w:hAnsi="Times New Roman" w:cs="Microsoft Himalaya"/>
          <w:i/>
          <w:iCs/>
          <w:sz w:val="24"/>
          <w:szCs w:val="24"/>
        </w:rPr>
        <w:t>Mammadov</w:t>
      </w:r>
      <w:proofErr w:type="spellEnd"/>
      <w:r w:rsidRPr="007D6614">
        <w:rPr>
          <w:rFonts w:ascii="Times New Roman" w:eastAsia="Times New Roman" w:hAnsi="Times New Roman" w:cs="Microsoft Himalaya"/>
          <w:i/>
          <w:iCs/>
          <w:sz w:val="24"/>
          <w:szCs w:val="24"/>
        </w:rPr>
        <w:t xml:space="preserve"> v. Azerbaycan</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15172/13, 22 Mayıs 2014) ve </w:t>
      </w:r>
      <w:r w:rsidRPr="007D6614">
        <w:rPr>
          <w:rFonts w:ascii="Times New Roman" w:eastAsia="Times New Roman" w:hAnsi="Times New Roman" w:cs="Microsoft Himalaya"/>
          <w:i/>
          <w:iCs/>
          <w:sz w:val="24"/>
          <w:szCs w:val="24"/>
        </w:rPr>
        <w:t xml:space="preserve">Ilgar </w:t>
      </w:r>
      <w:proofErr w:type="spellStart"/>
      <w:r w:rsidRPr="007D6614">
        <w:rPr>
          <w:rFonts w:ascii="Times New Roman" w:eastAsia="Times New Roman" w:hAnsi="Times New Roman" w:cs="Microsoft Himalaya"/>
          <w:i/>
          <w:iCs/>
          <w:sz w:val="24"/>
          <w:szCs w:val="24"/>
        </w:rPr>
        <w:t>Mammadov</w:t>
      </w:r>
      <w:proofErr w:type="spellEnd"/>
      <w:r w:rsidRPr="007D6614">
        <w:rPr>
          <w:rFonts w:ascii="Times New Roman" w:eastAsia="Times New Roman" w:hAnsi="Times New Roman" w:cs="Microsoft Himalaya"/>
          <w:i/>
          <w:iCs/>
          <w:sz w:val="24"/>
          <w:szCs w:val="24"/>
        </w:rPr>
        <w:t xml:space="preserve"> v. Azerbaycan</w:t>
      </w:r>
      <w:r w:rsidRPr="007D6614">
        <w:rPr>
          <w:rFonts w:ascii="Times New Roman" w:eastAsia="Times New Roman" w:hAnsi="Times New Roman" w:cs="Microsoft Himalaya"/>
          <w:sz w:val="24"/>
          <w:szCs w:val="24"/>
        </w:rPr>
        <w:t xml:space="preserve"> </w:t>
      </w:r>
      <w:r w:rsidRPr="007D6614">
        <w:rPr>
          <w:rFonts w:ascii="Times New Roman" w:eastAsia="Times New Roman" w:hAnsi="Times New Roman" w:cs="Microsoft Himalaya"/>
          <w:i/>
          <w:iCs/>
          <w:sz w:val="24"/>
          <w:szCs w:val="24"/>
        </w:rPr>
        <w:t>(</w:t>
      </w:r>
      <w:proofErr w:type="spellStart"/>
      <w:r w:rsidRPr="007D6614">
        <w:rPr>
          <w:rFonts w:ascii="Times New Roman" w:eastAsia="Times New Roman" w:hAnsi="Times New Roman" w:cs="Microsoft Himalaya"/>
          <w:i/>
          <w:iCs/>
          <w:sz w:val="24"/>
          <w:szCs w:val="24"/>
        </w:rPr>
        <w:t>no</w:t>
      </w:r>
      <w:proofErr w:type="spellEnd"/>
      <w:r w:rsidRPr="007D6614">
        <w:rPr>
          <w:rFonts w:ascii="Times New Roman" w:eastAsia="Times New Roman" w:hAnsi="Times New Roman" w:cs="Microsoft Himalaya"/>
          <w:i/>
          <w:iCs/>
          <w:sz w:val="24"/>
          <w:szCs w:val="24"/>
        </w:rPr>
        <w:t>. 2)</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919/15, 16 Kasım 2017) (bakınız Ilgar </w:t>
      </w:r>
      <w:proofErr w:type="spellStart"/>
      <w:r w:rsidRPr="007D6614">
        <w:rPr>
          <w:rFonts w:ascii="Times New Roman" w:eastAsia="Times New Roman" w:hAnsi="Times New Roman" w:cs="Microsoft Himalaya"/>
          <w:sz w:val="24"/>
          <w:szCs w:val="24"/>
        </w:rPr>
        <w:t>Mammadov</w:t>
      </w:r>
      <w:proofErr w:type="spellEnd"/>
      <w:r w:rsidRPr="007D6614">
        <w:rPr>
          <w:rFonts w:ascii="Times New Roman" w:eastAsia="Times New Roman" w:hAnsi="Times New Roman" w:cs="Microsoft Himalaya"/>
          <w:sz w:val="24"/>
          <w:szCs w:val="24"/>
        </w:rPr>
        <w:t xml:space="preserve"> v. Azerbaycan (ihlal davası)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15172/13, 29 Mayıs 2019, ekli mutabık görüşlerle) davalarında iki kararın gerektirdiği sorunları dikkate alarak Mahkeme haklı olarak, anlık kararın infazı için alınması gereken belirli önlemleri belirtmesi gerektiğini düşünmüştür. </w:t>
      </w:r>
      <w:proofErr w:type="gramEnd"/>
      <w:r w:rsidRPr="007D6614">
        <w:rPr>
          <w:rFonts w:ascii="Times New Roman" w:eastAsia="Times New Roman" w:hAnsi="Times New Roman" w:cs="Microsoft Himalaya"/>
          <w:sz w:val="24"/>
          <w:szCs w:val="24"/>
        </w:rPr>
        <w:t>440-42. paragraflardaki gerekçelendirmenin belirli unsurlarının yanı sıra tam ifadesine ilişkin çekincelerim olmasına rağmen, hükmün 14. maddesi lehine oy kullandım.</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İlk olarak, yorumlayıcı tartışmalardan kaçınmak için, benim görüşüme göre, hüküm kısmının 14. maddesine bir </w:t>
      </w:r>
      <w:r w:rsidRPr="007D6614">
        <w:rPr>
          <w:rFonts w:ascii="Times New Roman" w:eastAsia="Times New Roman" w:hAnsi="Times New Roman" w:cs="Microsoft Himalaya"/>
          <w:i/>
          <w:iCs/>
          <w:sz w:val="24"/>
          <w:szCs w:val="24"/>
        </w:rPr>
        <w:t>beklenmeyen hal şartının</w:t>
      </w:r>
      <w:r w:rsidRPr="007D6614">
        <w:rPr>
          <w:rFonts w:ascii="Times New Roman" w:eastAsia="Times New Roman" w:hAnsi="Times New Roman" w:cs="Microsoft Himalaya"/>
          <w:sz w:val="24"/>
          <w:szCs w:val="24"/>
        </w:rPr>
        <w:t xml:space="preserve"> </w:t>
      </w:r>
      <w:r w:rsidR="00DA1D16">
        <w:rPr>
          <w:rFonts w:ascii="Times New Roman" w:eastAsia="Times New Roman" w:hAnsi="Times New Roman" w:cs="Microsoft Himalaya"/>
          <w:sz w:val="24"/>
          <w:szCs w:val="24"/>
        </w:rPr>
        <w:t>dâhil</w:t>
      </w:r>
      <w:r w:rsidRPr="007D6614">
        <w:rPr>
          <w:rFonts w:ascii="Times New Roman" w:eastAsia="Times New Roman" w:hAnsi="Times New Roman" w:cs="Microsoft Himalaya"/>
          <w:sz w:val="24"/>
          <w:szCs w:val="24"/>
        </w:rPr>
        <w:t xml:space="preserve"> edilmesi tercih edilebilirdi. Bazı önemli yorumlayıcı konuları bu nedenle hüküm kısmın ifadelerinde açıklığa kavuşturulabilirdi.</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İkinci olarak, </w:t>
      </w:r>
      <w:r w:rsidRPr="007D6614">
        <w:rPr>
          <w:rFonts w:ascii="Times New Roman" w:eastAsia="Times New Roman" w:hAnsi="Times New Roman" w:cs="Microsoft Himalaya"/>
          <w:i/>
          <w:iCs/>
          <w:sz w:val="24"/>
          <w:szCs w:val="24"/>
        </w:rPr>
        <w:t xml:space="preserve">beklenmeyen hal şartı, </w:t>
      </w:r>
      <w:r w:rsidRPr="007D6614">
        <w:rPr>
          <w:rFonts w:ascii="Times New Roman" w:eastAsia="Times New Roman" w:hAnsi="Times New Roman" w:cs="Microsoft Himalaya"/>
          <w:sz w:val="24"/>
          <w:szCs w:val="24"/>
        </w:rPr>
        <w:t>benim görüşüme göre, tamamen makuldür ancak aynı zamanda yeterince kesin değildir. Sorun, 442. paragrafta bahsedilen ilgili "olgusal bağlamı" hangi unsurların tanımladığına dair ortaya çıkmaktadır. Dahası ve daha da önemlisi, başvurucunun aynı olgusal bağlamla ilgili gerekçelerle tutukluluğunun devam etmesi, haklarının ihlalinin uzatılmasını değil, aynı zamanda, başvurucunun haklarının ihlaline ilişkin farklı bir olgusal bağlamla ilgili gerekçelerle açıkça haksız tutukluluk da böyle bir ihlali beraberinde getirecektir.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Üçüncüsü, tutukluluğun mevcut karara aykırı olarak devam edip etmediği sorusu, zor olgusal ve hukuki meseleler ortaya çıkarabileceğinden, mesele, bağımsız ve tarafsız bir organ önündeki yargılamalarda, tercihen bu Mahkeme önündeki yargılamalarda, yargı sürecinin tüm garantileri ile karara bağlanmalıdır. </w:t>
      </w:r>
      <w:proofErr w:type="gramStart"/>
      <w:r w:rsidRPr="007D6614">
        <w:rPr>
          <w:rFonts w:ascii="Times New Roman" w:eastAsia="Times New Roman" w:hAnsi="Times New Roman" w:cs="Microsoft Himalaya"/>
          <w:sz w:val="24"/>
          <w:szCs w:val="24"/>
        </w:rPr>
        <w:t xml:space="preserve">Hem yerel hem de uluslararası düzeyde yargı bağımsızlığı garantilerinin kapsamına girdiği bir alanda yargı dışı organların müdahale riski, mevcut kararın infaz aşamasında son derece dikkatli olunmasını gerektirir (Yargıçlar </w:t>
      </w:r>
      <w:proofErr w:type="spellStart"/>
      <w:r w:rsidRPr="007D6614">
        <w:rPr>
          <w:rFonts w:ascii="Times New Roman" w:eastAsia="Times New Roman" w:hAnsi="Times New Roman" w:cs="Microsoft Himalaya"/>
          <w:sz w:val="24"/>
          <w:szCs w:val="24"/>
        </w:rPr>
        <w:t>Yudkivska</w:t>
      </w:r>
      <w:proofErr w:type="spellEnd"/>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Pinto</w:t>
      </w:r>
      <w:proofErr w:type="spellEnd"/>
      <w:r w:rsidRPr="007D6614">
        <w:rPr>
          <w:rFonts w:ascii="Times New Roman" w:eastAsia="Times New Roman" w:hAnsi="Times New Roman" w:cs="Microsoft Himalaya"/>
          <w:sz w:val="24"/>
          <w:szCs w:val="24"/>
        </w:rPr>
        <w:t xml:space="preserve"> de </w:t>
      </w:r>
      <w:proofErr w:type="spellStart"/>
      <w:r w:rsidRPr="007D6614">
        <w:rPr>
          <w:rFonts w:ascii="Times New Roman" w:eastAsia="Times New Roman" w:hAnsi="Times New Roman" w:cs="Microsoft Himalaya"/>
          <w:sz w:val="24"/>
          <w:szCs w:val="24"/>
        </w:rPr>
        <w:t>Albuquerque</w:t>
      </w:r>
      <w:proofErr w:type="spellEnd"/>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Wojtyczek</w:t>
      </w:r>
      <w:proofErr w:type="spellEnd"/>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Dedov</w:t>
      </w:r>
      <w:proofErr w:type="spellEnd"/>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Motoc</w:t>
      </w:r>
      <w:proofErr w:type="spellEnd"/>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Poláčková</w:t>
      </w:r>
      <w:proofErr w:type="spellEnd"/>
      <w:r w:rsidRPr="007D6614">
        <w:rPr>
          <w:rFonts w:ascii="Times New Roman" w:eastAsia="Times New Roman" w:hAnsi="Times New Roman" w:cs="Microsoft Himalaya"/>
          <w:sz w:val="24"/>
          <w:szCs w:val="24"/>
        </w:rPr>
        <w:t xml:space="preserve"> ve </w:t>
      </w:r>
      <w:proofErr w:type="spellStart"/>
      <w:r w:rsidRPr="007D6614">
        <w:rPr>
          <w:rFonts w:ascii="Times New Roman" w:eastAsia="Times New Roman" w:hAnsi="Times New Roman" w:cs="Microsoft Himalaya"/>
          <w:sz w:val="24"/>
          <w:szCs w:val="24"/>
        </w:rPr>
        <w:t>Hüseynov'un</w:t>
      </w:r>
      <w:proofErr w:type="spellEnd"/>
      <w:r w:rsidRPr="007D6614">
        <w:rPr>
          <w:rFonts w:ascii="Times New Roman" w:eastAsia="Times New Roman" w:hAnsi="Times New Roman" w:cs="Microsoft Himalaya"/>
          <w:sz w:val="24"/>
          <w:szCs w:val="24"/>
        </w:rPr>
        <w:t xml:space="preserve"> yukarıda belirtilen </w:t>
      </w:r>
      <w:r w:rsidRPr="007D6614">
        <w:rPr>
          <w:rFonts w:ascii="Times New Roman" w:eastAsia="Times New Roman" w:hAnsi="Times New Roman" w:cs="Microsoft Himalaya"/>
          <w:i/>
          <w:iCs/>
          <w:sz w:val="24"/>
          <w:szCs w:val="24"/>
        </w:rPr>
        <w:t xml:space="preserve">Ilgar </w:t>
      </w:r>
      <w:proofErr w:type="spellStart"/>
      <w:r w:rsidRPr="007D6614">
        <w:rPr>
          <w:rFonts w:ascii="Times New Roman" w:eastAsia="Times New Roman" w:hAnsi="Times New Roman" w:cs="Microsoft Himalaya"/>
          <w:i/>
          <w:iCs/>
          <w:sz w:val="24"/>
          <w:szCs w:val="24"/>
        </w:rPr>
        <w:t>Mammadov</w:t>
      </w:r>
      <w:proofErr w:type="spellEnd"/>
      <w:r w:rsidRPr="007D6614">
        <w:rPr>
          <w:rFonts w:ascii="Times New Roman" w:eastAsia="Times New Roman" w:hAnsi="Times New Roman" w:cs="Microsoft Himalaya"/>
          <w:i/>
          <w:iCs/>
          <w:sz w:val="24"/>
          <w:szCs w:val="24"/>
        </w:rPr>
        <w:t xml:space="preserve"> </w:t>
      </w:r>
      <w:r w:rsidRPr="007D6614">
        <w:rPr>
          <w:rFonts w:ascii="Times New Roman" w:eastAsia="Times New Roman" w:hAnsi="Times New Roman" w:cs="Microsoft Himalaya"/>
          <w:sz w:val="24"/>
          <w:szCs w:val="24"/>
        </w:rPr>
        <w:t>kararına ekli ortak mutabakat görüşüne bakınız (ihlal davası); ayrıca bakınız bu karara ekli mutabık görüşüm).</w:t>
      </w:r>
      <w:proofErr w:type="gramEnd"/>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br w:type="page"/>
      </w:r>
    </w:p>
    <w:p w:rsidR="007D6614" w:rsidRPr="007D6614" w:rsidRDefault="007D6614" w:rsidP="007D6614">
      <w:pPr>
        <w:keepNext/>
        <w:keepLines/>
        <w:spacing w:before="100" w:beforeAutospacing="1" w:after="240" w:line="240" w:lineRule="auto"/>
        <w:jc w:val="both"/>
        <w:outlineLvl w:val="0"/>
        <w:rPr>
          <w:rFonts w:ascii="Times New Roman" w:eastAsia="MS Gothic" w:hAnsi="Times New Roman" w:cs="Microsoft Himalaya"/>
          <w:bCs/>
          <w:caps/>
          <w:sz w:val="28"/>
          <w:szCs w:val="28"/>
        </w:rPr>
      </w:pPr>
      <w:r w:rsidRPr="007D6614">
        <w:rPr>
          <w:rFonts w:ascii="Times New Roman" w:eastAsia="MS Gothic" w:hAnsi="Times New Roman" w:cs="Microsoft Himalaya"/>
          <w:bCs/>
          <w:caps/>
          <w:sz w:val="28"/>
          <w:szCs w:val="28"/>
        </w:rPr>
        <w:lastRenderedPageBreak/>
        <w:t>Yargıç CHANTURIA’nın kısmen muhalefet şerhi</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\r1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1</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w:t>
      </w:r>
      <w:r w:rsidRPr="007D6614">
        <w:rPr>
          <w:rFonts w:ascii="Times New Roman" w:eastAsia="Times New Roman" w:hAnsi="Times New Roman" w:cs="Times New Roman"/>
          <w:sz w:val="24"/>
          <w:szCs w:val="24"/>
          <w:lang w:eastAsia="tr-TR"/>
        </w:rPr>
        <w:t>Çoğunluğunun, Anayasa Mahkemesi’nin başvurucunun tutukluluk süresinin Anayasanın 19. maddesinin yedinci fıkrasına aykırı olduğu sonucuna vardığı 9 Haziran 2020 tarihli kararını kabul etmemesi kararına saygıyla katılmıyorum. Söz konusu kararında Anayasa Mahkemesi, başvurucunun Sözleşme’nin 5. maddesinin 3. fıkrasıyla korunan hakkının esasının ihlal edildiğini kabul etmiş, tutukluluk halinin devamına neden olan kararların yetersiz gerekçeler içerdiğine hükmetmiştir. Bu durum, yerel makamların Sözleşme’nin ihlal edildiğini -açıkça yahut maddi anlamda- kabul ettiği ve buna göre başvurucu lehine tazminata hükmettiği durumlarda başvurucunun mağdur statüsünü kaybedeceğini öngören (bkz. </w:t>
      </w:r>
      <w:proofErr w:type="spellStart"/>
      <w:r w:rsidRPr="007D6614">
        <w:rPr>
          <w:rFonts w:ascii="Times New Roman" w:eastAsia="Times New Roman" w:hAnsi="Times New Roman" w:cs="Times New Roman"/>
          <w:i/>
          <w:iCs/>
          <w:sz w:val="24"/>
          <w:szCs w:val="24"/>
          <w:lang w:eastAsia="tr-TR"/>
        </w:rPr>
        <w:t>Eckle</w:t>
      </w:r>
      <w:proofErr w:type="spellEnd"/>
      <w:r w:rsidRPr="007D6614">
        <w:rPr>
          <w:rFonts w:ascii="Times New Roman" w:eastAsia="Times New Roman" w:hAnsi="Times New Roman" w:cs="Times New Roman"/>
          <w:i/>
          <w:iCs/>
          <w:sz w:val="24"/>
          <w:szCs w:val="24"/>
          <w:lang w:eastAsia="tr-TR"/>
        </w:rPr>
        <w:t xml:space="preserve"> v. Almanya</w:t>
      </w:r>
      <w:r w:rsidRPr="007D6614">
        <w:rPr>
          <w:rFonts w:ascii="Times New Roman" w:eastAsia="Times New Roman" w:hAnsi="Times New Roman" w:cs="Times New Roman"/>
          <w:sz w:val="24"/>
          <w:szCs w:val="24"/>
          <w:lang w:eastAsia="tr-TR"/>
        </w:rPr>
        <w:t xml:space="preserve">, 15 Temmuz 1982, § 66, Seri A </w:t>
      </w:r>
      <w:proofErr w:type="spellStart"/>
      <w:r w:rsidRPr="007D6614">
        <w:rPr>
          <w:rFonts w:ascii="Times New Roman" w:eastAsia="Times New Roman" w:hAnsi="Times New Roman" w:cs="Times New Roman"/>
          <w:sz w:val="24"/>
          <w:szCs w:val="24"/>
          <w:lang w:eastAsia="tr-TR"/>
        </w:rPr>
        <w:t>no</w:t>
      </w:r>
      <w:proofErr w:type="spellEnd"/>
      <w:r w:rsidRPr="007D6614">
        <w:rPr>
          <w:rFonts w:ascii="Times New Roman" w:eastAsia="Times New Roman" w:hAnsi="Times New Roman" w:cs="Times New Roman"/>
          <w:sz w:val="24"/>
          <w:szCs w:val="24"/>
          <w:lang w:eastAsia="tr-TR"/>
        </w:rPr>
        <w:t>. 51) yerleşik içtihadı (bakınız kararın 218. paragrafı) ile uyumludur.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2</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w:t>
      </w:r>
      <w:r w:rsidRPr="007D6614">
        <w:rPr>
          <w:rFonts w:ascii="Times New Roman" w:eastAsia="Times New Roman" w:hAnsi="Times New Roman" w:cs="Times New Roman"/>
          <w:sz w:val="24"/>
          <w:szCs w:val="24"/>
          <w:lang w:eastAsia="tr-TR"/>
        </w:rPr>
        <w:t xml:space="preserve">Ancak bir kişinin sırf ilgili Devlet Sözleşme’nin ihlal edildiğini kabul ettiği için mağdur statüsünü kaybetmeyeceği açıktır. Mahkeme’nin inceleme alanına giren ikinci nokta ise, söz konusu davada Anayasa Mahkemesinin kararının başvurucuya uygun ve yeterli bir giderim sağlayıp sağlamadığıdır. Mahkeme’nin içtihadı uyarınca, ulusal makamların başvurucuya bir tazminat ödediği durumlarda Mahkeme, tazminatın miktarını incelemelidir. İnceleme altındaki miktarın söz konusu dava koşullarında açıkça yetersiz olmaması gerekmektedir (bakınız </w:t>
      </w:r>
      <w:proofErr w:type="spellStart"/>
      <w:r w:rsidRPr="007D6614">
        <w:rPr>
          <w:rFonts w:ascii="Times New Roman" w:eastAsia="Times New Roman" w:hAnsi="Times New Roman" w:cs="Times New Roman"/>
          <w:i/>
          <w:iCs/>
          <w:sz w:val="24"/>
          <w:szCs w:val="24"/>
          <w:lang w:eastAsia="tr-TR"/>
        </w:rPr>
        <w:t>Žúbor</w:t>
      </w:r>
      <w:proofErr w:type="spellEnd"/>
      <w:r w:rsidRPr="007D6614">
        <w:rPr>
          <w:rFonts w:ascii="Times New Roman" w:eastAsia="Times New Roman" w:hAnsi="Times New Roman" w:cs="Times New Roman"/>
          <w:i/>
          <w:iCs/>
          <w:sz w:val="24"/>
          <w:szCs w:val="24"/>
          <w:lang w:eastAsia="tr-TR"/>
        </w:rPr>
        <w:t xml:space="preserve"> v. Slovakya</w:t>
      </w:r>
      <w:r w:rsidRPr="007D6614">
        <w:rPr>
          <w:rFonts w:ascii="Times New Roman" w:eastAsia="Times New Roman" w:hAnsi="Times New Roman" w:cs="Times New Roman"/>
          <w:sz w:val="24"/>
          <w:szCs w:val="24"/>
          <w:lang w:eastAsia="tr-TR"/>
        </w:rPr>
        <w:t xml:space="preserve">, </w:t>
      </w:r>
      <w:proofErr w:type="spellStart"/>
      <w:r w:rsidRPr="007D6614">
        <w:rPr>
          <w:rFonts w:ascii="Times New Roman" w:eastAsia="Times New Roman" w:hAnsi="Times New Roman" w:cs="Times New Roman"/>
          <w:sz w:val="24"/>
          <w:szCs w:val="24"/>
          <w:lang w:eastAsia="tr-TR"/>
        </w:rPr>
        <w:t>no</w:t>
      </w:r>
      <w:proofErr w:type="spellEnd"/>
      <w:r w:rsidRPr="007D6614">
        <w:rPr>
          <w:rFonts w:ascii="Times New Roman" w:eastAsia="Times New Roman" w:hAnsi="Times New Roman" w:cs="Times New Roman"/>
          <w:sz w:val="24"/>
          <w:szCs w:val="24"/>
          <w:lang w:eastAsia="tr-TR"/>
        </w:rPr>
        <w:t>. 7711/06, § 63, 6 Aralık 2011). Başvurucuya manevi hasarlar nedeniyle 50.000₺ (yaklaşık 6.500 Euro), yargılama giderleri içinse 4.436,30₺ (yaklaşık 575 Euro) ödenmesine karar verilmiştir ve bu miktar orantısız olarak görülemez.</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3</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w:t>
      </w:r>
      <w:r w:rsidRPr="007D6614">
        <w:rPr>
          <w:rFonts w:ascii="Times New Roman" w:eastAsia="Times New Roman" w:hAnsi="Times New Roman" w:cs="Times New Roman"/>
          <w:sz w:val="24"/>
          <w:szCs w:val="24"/>
          <w:lang w:eastAsia="tr-TR"/>
        </w:rPr>
        <w:t xml:space="preserve">Söz konusu davada, ilgili içtihatta geliştirilen iki ön koşul da sağlanmıştır. Mahkeme’nin ikincillik ilkesinin ve yerel mahkemelerle yargısal diyaloğun öneminin altını çizdiği içtihatlarının farkında olan çoğunluk neden Anayasa Mahkemesi’nin bu önemli bulgularını kabul etmesin? Uluslararası yargısal işbirliğinin önemli prensipleri görmezden gelinerek ulusal mahkemelere nasıl bir mesaj gönderilmektedir? Bu gibi bir durumda yerel mahkemeler daha fazla ne yapabilirdi? Anayasa Mahkemesi’nin Sözleşme’nin 5. maddesinin 3. fıkrasıyla korunan hakkın ihlal edildiği kararını kabul etmediği çoğunluk sonucu (bkz. kararın 222. paragrafı) gerçeği yansıtmamaktadır. Ulusal makamların Sözleşme’nin herhangi bir şekilde ihlal edilmesi halinde bunu giderme yükümlülüğü, başvurucunun Sözleşme’nin 5. maddesinin 3. fıkrası altındaki </w:t>
      </w:r>
      <w:r w:rsidR="00DA1D16">
        <w:rPr>
          <w:rFonts w:ascii="Times New Roman" w:eastAsia="Times New Roman" w:hAnsi="Times New Roman" w:cs="Times New Roman"/>
          <w:sz w:val="24"/>
          <w:szCs w:val="24"/>
          <w:lang w:eastAsia="tr-TR"/>
        </w:rPr>
        <w:t>şikâyet</w:t>
      </w:r>
      <w:r w:rsidRPr="007D6614">
        <w:rPr>
          <w:rFonts w:ascii="Times New Roman" w:eastAsia="Times New Roman" w:hAnsi="Times New Roman" w:cs="Times New Roman"/>
          <w:sz w:val="24"/>
          <w:szCs w:val="24"/>
          <w:lang w:eastAsia="tr-TR"/>
        </w:rPr>
        <w:t xml:space="preserve">i bakımından sağlanmıştır. </w:t>
      </w:r>
    </w:p>
    <w:p w:rsidR="007D6614" w:rsidRPr="007D6614" w:rsidRDefault="007D6614" w:rsidP="007D6614">
      <w:pPr>
        <w:keepNext/>
        <w:keepLines/>
        <w:spacing w:after="240" w:line="240" w:lineRule="auto"/>
        <w:jc w:val="center"/>
        <w:outlineLvl w:val="0"/>
        <w:rPr>
          <w:rFonts w:ascii="Times New Roman" w:eastAsia="Times New Roman" w:hAnsi="Times New Roman" w:cs="Microsoft Himalaya"/>
          <w:sz w:val="28"/>
          <w:szCs w:val="24"/>
        </w:rPr>
      </w:pPr>
      <w:r w:rsidRPr="007D6614">
        <w:rPr>
          <w:rFonts w:ascii="Times New Roman" w:eastAsia="Times New Roman" w:hAnsi="Times New Roman" w:cs="Microsoft Himalaya"/>
          <w:sz w:val="28"/>
          <w:szCs w:val="24"/>
        </w:rPr>
        <w:lastRenderedPageBreak/>
        <w:t>YARGIÇ YÜKSEL'İN YARGIÇ PACZOLAY'IN KATILDIĞI KISMİ MUHALEFET ŞERHİ</w:t>
      </w:r>
    </w:p>
    <w:p w:rsidR="007D6614" w:rsidRPr="007D6614" w:rsidRDefault="007D6614" w:rsidP="007D6614">
      <w:pPr>
        <w:keepNext/>
        <w:keepLines/>
        <w:numPr>
          <w:ilvl w:val="1"/>
          <w:numId w:val="0"/>
        </w:numPr>
        <w:tabs>
          <w:tab w:val="left" w:pos="454"/>
          <w:tab w:val="left" w:pos="567"/>
          <w:tab w:val="left" w:pos="680"/>
        </w:tabs>
        <w:spacing w:before="100" w:beforeAutospacing="1" w:after="240" w:line="240" w:lineRule="auto"/>
        <w:ind w:left="397" w:hanging="397"/>
        <w:jc w:val="both"/>
        <w:outlineLvl w:val="1"/>
        <w:rPr>
          <w:rFonts w:ascii="Times New Roman" w:eastAsia="MS Gothic" w:hAnsi="Times New Roman" w:cs="Microsoft Himalaya"/>
          <w:bCs/>
          <w:caps/>
          <w:sz w:val="24"/>
          <w:szCs w:val="26"/>
        </w:rPr>
      </w:pPr>
      <w:r w:rsidRPr="007D6614">
        <w:rPr>
          <w:rFonts w:ascii="Times New Roman" w:eastAsia="MS Gothic" w:hAnsi="Times New Roman" w:cs="Microsoft Himalaya"/>
          <w:bCs/>
          <w:caps/>
          <w:sz w:val="24"/>
          <w:szCs w:val="26"/>
        </w:rPr>
        <w:t xml:space="preserve">SÖZLEŞME'NİN 5. Maddesinin 3. fıkrası KAPSAMINDAKİ </w:t>
      </w:r>
      <w:proofErr w:type="gramStart"/>
      <w:r w:rsidRPr="007D6614">
        <w:rPr>
          <w:rFonts w:ascii="Times New Roman" w:eastAsia="MS Gothic" w:hAnsi="Times New Roman" w:cs="Microsoft Himalaya"/>
          <w:bCs/>
          <w:caps/>
          <w:sz w:val="24"/>
          <w:szCs w:val="26"/>
        </w:rPr>
        <w:t>ŞİKAYETE</w:t>
      </w:r>
      <w:proofErr w:type="gramEnd"/>
      <w:r w:rsidRPr="007D6614">
        <w:rPr>
          <w:rFonts w:ascii="Times New Roman" w:eastAsia="MS Gothic" w:hAnsi="Times New Roman" w:cs="Microsoft Himalaya"/>
          <w:bCs/>
          <w:caps/>
          <w:sz w:val="24"/>
          <w:szCs w:val="26"/>
        </w:rPr>
        <w:t xml:space="preserve"> İLİŞKİN</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\r1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1</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Başvurucunun Sözleşme'nin 5. maddesinin 3. fıkrası uyarınca mağdur statüsüne ilişkin çoğunluğa saygıyla katılmıyorum. Mevcut davada, başvurucunun artık bu hükmün ihlalinin mağduru olduğunu iddia edemeyeceği görüşündeyim.</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2</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Başvurucu, Mahkeme huzurunda, kendisinin ilk ve devam eden tutukluluğuna hükmeden adli kararların, kanunda öngörülen tutuklu yargılama gerekçelerine atıfta bulunmaktan başka hiçbir neden içermediğini ve soyut, matbu ve basmakalıp gerekçelerle ifade edildiğini ileri sürmüştür. İkinci başvurusunda, Anayasa Mahkemesi, 9 Haziran 2020 tarihinde, ulusal mahkemelerin kararlarına ilişkin yeterli gerekçeler sunmadıkları gerekçesiyle, Türkiye Anayasası'nın 19. maddesinin (Sözleşme'nin 5. maddesinin 3. fıkrasına eşdeğer hüküm) ihlal edildiğine hükmetmiştir. Anayasa Mahkemesi ayrıca, yerel mahkemelerin ilgili çatışan menfaatleri yani (i) ceza yargılaması bağlamında başvurucunun tutukluluğunun uzatılmasındaki kamu yararı ve (ii) milletvekili ve bir siyasi partinin eş genel başkanı olarak Meclis’in yasama faaliyetlerine katılma hakkı gibi hakları tartamadığına karar vermiştir. Başvurucunun özgürlük hakkı ile bir politikacı olarak hakları arasında bir denge kurması, Anayasa Mahkemesi’nin başvurucunun tutukluluk süresinin uzunluğuna ilişkin değerlendirmesinin bir parçasını oluşturmuştur.</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3</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Unutulmamalıdır ki, Anayasa Mahkemesi, başvurucunun ilk tutukluluğuna ilişkin ilk kararında zaten hüküm vermiş ve Anayasa’ya uygun bulmuştur. Bu bağlamda, Daire'nin, başvurucunun Sözleşme'nin 5. maddesinin 1. fıkrasının c bendi kapsamındaki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i ile ilgili olarak aynı sonuca vardığını tekrarlamak isterim. İkinci kararında, başvurucunun ilk tutukluluk kararını tekrar incelemesi talep edilmeyen Anayasa Mahkemesi, tutukluluğun devamına hükmeden kararları incelemiştir. Benim görüşüme göre, Anayasa Mahkemesi’nin başvurucunun tutukluluğunun devamına ilişkin kararlarda verilen gerekçelerin tutukluluk süresini haklı çıkarmak için yeterli olmadığına dayanarak bir ihlal tespit ettiği ikinci kararı, başvurucunun Sözleşme'nin 5. maddesinin 3. fıkrası kapsamındaki haklarının en azından özü itibarıyla ihlal edildiğinin kabul edildiğini göstermektedir.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4</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Bu nedenle Mahkeme, Anayasa Mahkemesi kararının başvurucuya uygun ve yeterli telafi sağlayıp sağlamadığını belirlemek zorunda kalmıştır. </w:t>
      </w:r>
      <w:r w:rsidRPr="007D6614">
        <w:rPr>
          <w:rFonts w:ascii="Times New Roman" w:eastAsia="Times New Roman" w:hAnsi="Times New Roman" w:cs="Microsoft Himalaya"/>
          <w:sz w:val="24"/>
          <w:szCs w:val="24"/>
        </w:rPr>
        <w:lastRenderedPageBreak/>
        <w:t xml:space="preserve">Bu bağlamda, Mahkeme'nin içtihadına göre, ulusal makamların tespit edilen ihlal için başvurucuya tazminata hükmetmesi halinde, Mahkeme kararın miktarını incelemelidir (bakınız </w:t>
      </w:r>
      <w:proofErr w:type="spellStart"/>
      <w:r w:rsidRPr="007D6614">
        <w:rPr>
          <w:rFonts w:ascii="Times New Roman" w:eastAsia="Times New Roman" w:hAnsi="Times New Roman" w:cs="Microsoft Himalaya"/>
          <w:i/>
          <w:iCs/>
          <w:sz w:val="24"/>
          <w:szCs w:val="24"/>
        </w:rPr>
        <w:t>Hebat</w:t>
      </w:r>
      <w:proofErr w:type="spellEnd"/>
      <w:r w:rsidRPr="007D6614">
        <w:rPr>
          <w:rFonts w:ascii="Times New Roman" w:eastAsia="Times New Roman" w:hAnsi="Times New Roman" w:cs="Microsoft Himalaya"/>
          <w:i/>
          <w:iCs/>
          <w:sz w:val="24"/>
          <w:szCs w:val="24"/>
        </w:rPr>
        <w:t xml:space="preserve"> Aslan ve </w:t>
      </w:r>
      <w:proofErr w:type="spellStart"/>
      <w:r w:rsidRPr="007D6614">
        <w:rPr>
          <w:rFonts w:ascii="Times New Roman" w:eastAsia="Times New Roman" w:hAnsi="Times New Roman" w:cs="Microsoft Himalaya"/>
          <w:i/>
          <w:iCs/>
          <w:sz w:val="24"/>
          <w:szCs w:val="24"/>
        </w:rPr>
        <w:t>Firas</w:t>
      </w:r>
      <w:proofErr w:type="spellEnd"/>
      <w:r w:rsidRPr="007D6614">
        <w:rPr>
          <w:rFonts w:ascii="Times New Roman" w:eastAsia="Times New Roman" w:hAnsi="Times New Roman" w:cs="Microsoft Himalaya"/>
          <w:i/>
          <w:iCs/>
          <w:sz w:val="24"/>
          <w:szCs w:val="24"/>
        </w:rPr>
        <w:t xml:space="preserve"> Aslan v. Türkiye</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15048/09, § 44, 28 Ekim 2014). Bunu yaparken Mahkeme, benzer davalardaki kendi uygulamalarını dikkate alacak ve sahip olduğu esasa dayanarak, karşılaştırılabilir bir durumda neye karar vereceğini değerlendirecektir, ancak bu, iki miktarın mutlaka karşılık gelmesi gerektiği anlamına gelmez. </w:t>
      </w:r>
      <w:proofErr w:type="gramStart"/>
      <w:r w:rsidRPr="007D6614">
        <w:rPr>
          <w:rFonts w:ascii="Times New Roman" w:eastAsia="Times New Roman" w:hAnsi="Times New Roman" w:cs="Microsoft Himalaya"/>
          <w:sz w:val="24"/>
          <w:szCs w:val="24"/>
        </w:rPr>
        <w:t xml:space="preserve">Ayrıca, </w:t>
      </w:r>
      <w:proofErr w:type="spellStart"/>
      <w:r w:rsidRPr="007D6614">
        <w:rPr>
          <w:rFonts w:ascii="Times New Roman" w:eastAsia="Times New Roman" w:hAnsi="Times New Roman" w:cs="Microsoft Himalaya"/>
          <w:sz w:val="24"/>
          <w:szCs w:val="24"/>
        </w:rPr>
        <w:t>Sözleşme'de</w:t>
      </w:r>
      <w:proofErr w:type="spellEnd"/>
      <w:r w:rsidRPr="007D6614">
        <w:rPr>
          <w:rFonts w:ascii="Times New Roman" w:eastAsia="Times New Roman" w:hAnsi="Times New Roman" w:cs="Microsoft Himalaya"/>
          <w:sz w:val="24"/>
          <w:szCs w:val="24"/>
        </w:rPr>
        <w:t xml:space="preserve"> belirtilen hak ve özgürlüklerin güvence altına alınmasının öncelikle bu makamlara ait olduğu dikkate alındığında (bakınız </w:t>
      </w:r>
      <w:r w:rsidRPr="007D6614">
        <w:rPr>
          <w:rFonts w:ascii="Times New Roman" w:eastAsia="Times New Roman" w:hAnsi="Times New Roman" w:cs="Microsoft Himalaya"/>
          <w:i/>
          <w:iCs/>
          <w:sz w:val="24"/>
          <w:szCs w:val="24"/>
        </w:rPr>
        <w:t>Vedat Doğru v. Türkiye</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2469/10, § 40, 5 Nisan 2016) seçilen çözüm türü ve ulusal makamların söz konusu tazminatı sağlama hızı da </w:t>
      </w:r>
      <w:r w:rsidR="00DA1D16">
        <w:rPr>
          <w:rFonts w:ascii="Times New Roman" w:eastAsia="Times New Roman" w:hAnsi="Times New Roman" w:cs="Microsoft Himalaya"/>
          <w:sz w:val="24"/>
          <w:szCs w:val="24"/>
        </w:rPr>
        <w:t>dâhil</w:t>
      </w:r>
      <w:r w:rsidRPr="007D6614">
        <w:rPr>
          <w:rFonts w:ascii="Times New Roman" w:eastAsia="Times New Roman" w:hAnsi="Times New Roman" w:cs="Microsoft Himalaya"/>
          <w:sz w:val="24"/>
          <w:szCs w:val="24"/>
        </w:rPr>
        <w:t xml:space="preserve"> olmak üzere, davanın koşullarını bir bütün olarak dikkate alacaktır. </w:t>
      </w:r>
      <w:proofErr w:type="gramEnd"/>
      <w:r w:rsidRPr="007D6614">
        <w:rPr>
          <w:rFonts w:ascii="Times New Roman" w:eastAsia="Times New Roman" w:hAnsi="Times New Roman" w:cs="Microsoft Himalaya"/>
          <w:sz w:val="24"/>
          <w:szCs w:val="24"/>
        </w:rPr>
        <w:t xml:space="preserve">Bununla birlikte, ulusal düzeyde hükmedilen meblağ, incelenen davanın koşullarında açıkça yetersiz olmamalıdır (bakınız </w:t>
      </w:r>
      <w:proofErr w:type="spellStart"/>
      <w:r w:rsidRPr="007D6614">
        <w:rPr>
          <w:rFonts w:ascii="Times New Roman" w:eastAsia="Times New Roman" w:hAnsi="Times New Roman" w:cs="Microsoft Himalaya"/>
          <w:i/>
          <w:iCs/>
          <w:sz w:val="24"/>
          <w:szCs w:val="24"/>
        </w:rPr>
        <w:t>Žúbor</w:t>
      </w:r>
      <w:proofErr w:type="spellEnd"/>
      <w:r w:rsidRPr="007D6614">
        <w:rPr>
          <w:rFonts w:ascii="Times New Roman" w:eastAsia="Times New Roman" w:hAnsi="Times New Roman" w:cs="Microsoft Himalaya"/>
          <w:i/>
          <w:iCs/>
          <w:sz w:val="24"/>
          <w:szCs w:val="24"/>
        </w:rPr>
        <w:t xml:space="preserve"> v. Slovakya</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7711/06, § 63, 6 Aralık 2011). Mevcut davada, Anayasa Mahkemesi, ihlal tespitine dayanarak, başvurucuya manevi tazminat olarak 50.000 Türk Lirası (TRY - söz konusu tarihte yaklaşık 6.500 Euro (EUR)), masraf ve giderler için 4.436,30 TL (söz konusu tarihte yaklaşık 575 Euro) ödenmesine karar vermiştir.  Bu miktarların yetersiz ve orantısız sayılamayacağını düşünüyorum. Bu nedenle, Anayasa Mahkemesi’nin 9 Haziran 2020 tarihli kararının ona uygun ve yeterli tazminat sağlamadığını iddia etmekte zorlanıyorum.</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5</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Yukarıdakiler ışığında ve Sözleşme’nin kalbinde yatan ikincillik ilkesinin önemi göz önüne alındığında, benim kanaatim, başvurucunun artık Sözleşme'nin 5. maddesinin 3. fıkrasının ihlalinin mağduru olduğunu iddia edemeyeceğidir.</w:t>
      </w:r>
    </w:p>
    <w:p w:rsidR="007D6614" w:rsidRPr="007D6614" w:rsidRDefault="007D6614" w:rsidP="007D6614">
      <w:pPr>
        <w:keepNext/>
        <w:keepLines/>
        <w:numPr>
          <w:ilvl w:val="1"/>
          <w:numId w:val="0"/>
        </w:numPr>
        <w:tabs>
          <w:tab w:val="left" w:pos="454"/>
          <w:tab w:val="left" w:pos="567"/>
          <w:tab w:val="left" w:pos="680"/>
        </w:tabs>
        <w:spacing w:before="100" w:beforeAutospacing="1" w:after="240" w:line="240" w:lineRule="auto"/>
        <w:ind w:left="397" w:hanging="397"/>
        <w:jc w:val="both"/>
        <w:outlineLvl w:val="1"/>
        <w:rPr>
          <w:rFonts w:ascii="Times New Roman" w:eastAsia="MS Gothic" w:hAnsi="Times New Roman" w:cs="Microsoft Himalaya"/>
          <w:bCs/>
          <w:caps/>
          <w:sz w:val="24"/>
          <w:szCs w:val="26"/>
        </w:rPr>
      </w:pPr>
      <w:r w:rsidRPr="007D6614">
        <w:rPr>
          <w:rFonts w:ascii="Times New Roman" w:eastAsia="MS Gothic" w:hAnsi="Times New Roman" w:cs="Microsoft Himalaya"/>
          <w:bCs/>
          <w:caps/>
          <w:sz w:val="24"/>
          <w:szCs w:val="26"/>
        </w:rPr>
        <w:t>Sözleşme’nin 46. maddesine ilişkin</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6</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Sözleşme'nin 46. maddesi kapsamındaki temel gerekçenin, esasen başvurucunun 20 Eylül 2019 tarihinde emredilen ikinci tutukluluğunun hem olgusal hem de hukuki gerekçelerinin, başvurucunun derhal salıverilmesi güvence altına alınmalıdır sonucuyla birlikte incelenmesi anlamına geldiğini not ediyorum.  Çoğunluğun (i) yerel mahkemelerde bekleyen, (ii) taraflar arasında ihtilaflı olan ve (iii) davanın kapsamına girmeyen hukuki bir soruyu temel alan oldukça alışılmışın dışında bir değerlendirmeye dayanarak davalı Devlet’i başvurucuyu derhal salıverilmesini sağlamaya davet ettiği Sözleşme'nin 46. maddesinin uygulanmasına saygıyla katılamıyorum ve karşı oy kullanıyorum.</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7</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Başvurucunun ikinci tutukluluk kararı konusu, şu anda Anayasa Mahkemesi önünde bekleyen başka bir bireysel başvurunun konusudur (bakınız kararın 128. paragrafı). Bu nedenle, doğru hareket tarzı, ikincillik </w:t>
      </w:r>
      <w:r w:rsidRPr="007D6614">
        <w:rPr>
          <w:rFonts w:ascii="Times New Roman" w:eastAsia="Times New Roman" w:hAnsi="Times New Roman" w:cs="Microsoft Himalaya"/>
          <w:sz w:val="24"/>
          <w:szCs w:val="24"/>
        </w:rPr>
        <w:lastRenderedPageBreak/>
        <w:t>ilkesine uygun olarak yerel mahkemelerin yetkisine saygı göstermek olacaktır. Bunu yapmayı reddetmek, ne yazık ki, sadece Anayasa Mahkemesi önündeki yargılamalara halel getirmekle kalmayıp, aynı zamanda Mahkeme’yi ikinci tutukluluk kararının olgusal temelini tespit etmede savcı konumuna getirme riskini de taşıyabilir. Böyle bir yaklaşımdan kaçınılmalıydı.</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8</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Hem başlangıç ​​hem de mevcut tutukluluk kararlarının, başvurucu aleyhine aynı olgulardan kaynaklanan aynı suçlamaları içeren aynı ceza yargılamalarına ilişkin olduğu tespit edilmemiştir (bakınız, aksine, </w:t>
      </w:r>
      <w:r w:rsidRPr="007D6614">
        <w:rPr>
          <w:rFonts w:ascii="Times New Roman" w:eastAsia="Times New Roman" w:hAnsi="Times New Roman" w:cs="Microsoft Himalaya"/>
          <w:i/>
          <w:iCs/>
          <w:sz w:val="24"/>
          <w:szCs w:val="24"/>
        </w:rPr>
        <w:t xml:space="preserve">Ilgar </w:t>
      </w:r>
      <w:proofErr w:type="spellStart"/>
      <w:r w:rsidRPr="007D6614">
        <w:rPr>
          <w:rFonts w:ascii="Times New Roman" w:eastAsia="Times New Roman" w:hAnsi="Times New Roman" w:cs="Microsoft Himalaya"/>
          <w:i/>
          <w:iCs/>
          <w:sz w:val="24"/>
          <w:szCs w:val="24"/>
        </w:rPr>
        <w:t>Mammadov</w:t>
      </w:r>
      <w:proofErr w:type="spellEnd"/>
      <w:r w:rsidRPr="007D6614">
        <w:rPr>
          <w:rFonts w:ascii="Times New Roman" w:eastAsia="Times New Roman" w:hAnsi="Times New Roman" w:cs="Microsoft Himalaya"/>
          <w:i/>
          <w:iCs/>
          <w:sz w:val="24"/>
          <w:szCs w:val="24"/>
        </w:rPr>
        <w:t xml:space="preserve"> v. Azerbaycan (</w:t>
      </w:r>
      <w:proofErr w:type="spellStart"/>
      <w:r w:rsidRPr="007D6614">
        <w:rPr>
          <w:rFonts w:ascii="Times New Roman" w:eastAsia="Times New Roman" w:hAnsi="Times New Roman" w:cs="Microsoft Himalaya"/>
          <w:i/>
          <w:iCs/>
          <w:sz w:val="24"/>
          <w:szCs w:val="24"/>
        </w:rPr>
        <w:t>no</w:t>
      </w:r>
      <w:proofErr w:type="spellEnd"/>
      <w:r w:rsidRPr="007D6614">
        <w:rPr>
          <w:rFonts w:ascii="Times New Roman" w:eastAsia="Times New Roman" w:hAnsi="Times New Roman" w:cs="Microsoft Himalaya"/>
          <w:i/>
          <w:iCs/>
          <w:sz w:val="24"/>
          <w:szCs w:val="24"/>
        </w:rPr>
        <w:t>. 2)</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919/15, § 203, 16 Kasım 2017). İki tutuklama emrinin, yani mevcut başvuruyu doğuran ilk tutuklama kararının ve 20 Eylül 2019 tarihinde çıkarılan ikinci tutuklama kararının altında yatan gerçeklerin aynı olduğu varsayımına dayanarak, Sözleşme'nin 46. maddesi uyarınca bir değerlendirme yaparken çoğunluğun görüşünü paylaşamam. Karardan da görülebileceği gibi, iki tutuklama emrinin konusunu oluşturan suçlar aslında farklıdır (bakınız kararın 70 ve 116. paragrafları). İki tutuklama emrinin altında yatan 6-8 Ekim 2014 olayları gibi olgusal gerekçelerde belirli bir örtüşme olabileceği gerçeği, bunların aynı gerçeklerden dolayı çıkarıldığı sonucuna varmak için yeterli değildir. Nitekim bu konu taraflar arasında oldukça tartışmalıydı.</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9</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xml:space="preserve">.  Ayrıca, başvurucunun ikinci tutukluluğunun Büyük Daire önündeki davanın bir parçası olduğunu kabul etmekte güçlü tereddütlerim var. Bildiğim kadarıyla bu, bir başvurucunun salıverilmesinin Büyük Daire'nin ihlal bulduğu bir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e dayanılarak değil, ancak Sözleşme’nin 18. maddesi kapsamındaki diğer olgusal konularla birlikte dikkate alınan olgusal bir mesele temelinde ele alınan olgusal bir mesele temelinde tavsiye edildiği ilk Büyük Daire davasıdır.  Diğer bir deyişle, Büyük Daire'den başvurucunun ikinci tutukluluğunu incelemesi talep edilmediği göz önüne alındığında, Sözleşme'nin 46. maddesi uyarınca çoğunluğun vardığı sonucun, mevcut olduğu tespit edilen bir ihlale son vermeyi amaçladığı görülmemektedir. Sözleşme'nin 5. maddesinin bakış açısı, tekrar ediyorum, Anayasa Mahkemesi önünde bekleyen bir sorudur. Nitekim, Mahkeme'nin Sözleşme'nin 46. maddesi uyarınca bir başvurucunun serbest bırakılması gerektiğini belirttiği Büyük Daire davalarının incelenmesi, </w:t>
      </w:r>
      <w:r w:rsidRPr="007D6614">
        <w:rPr>
          <w:rFonts w:ascii="Times New Roman" w:eastAsia="Times New Roman" w:hAnsi="Times New Roman" w:cs="Microsoft Himalaya"/>
          <w:i/>
          <w:iCs/>
          <w:sz w:val="24"/>
          <w:szCs w:val="24"/>
        </w:rPr>
        <w:t xml:space="preserve">Del </w:t>
      </w:r>
      <w:proofErr w:type="spellStart"/>
      <w:r w:rsidRPr="007D6614">
        <w:rPr>
          <w:rFonts w:ascii="Times New Roman" w:eastAsia="Times New Roman" w:hAnsi="Times New Roman" w:cs="Microsoft Himalaya"/>
          <w:i/>
          <w:iCs/>
          <w:sz w:val="24"/>
          <w:szCs w:val="24"/>
        </w:rPr>
        <w:t>Río</w:t>
      </w:r>
      <w:proofErr w:type="spellEnd"/>
      <w:r w:rsidRPr="007D6614">
        <w:rPr>
          <w:rFonts w:ascii="Times New Roman" w:eastAsia="Times New Roman" w:hAnsi="Times New Roman" w:cs="Microsoft Himalaya"/>
          <w:i/>
          <w:iCs/>
          <w:sz w:val="24"/>
          <w:szCs w:val="24"/>
        </w:rPr>
        <w:t xml:space="preserve"> </w:t>
      </w:r>
      <w:proofErr w:type="spellStart"/>
      <w:r w:rsidRPr="007D6614">
        <w:rPr>
          <w:rFonts w:ascii="Times New Roman" w:eastAsia="Times New Roman" w:hAnsi="Times New Roman" w:cs="Microsoft Himalaya"/>
          <w:i/>
          <w:iCs/>
          <w:sz w:val="24"/>
          <w:szCs w:val="24"/>
        </w:rPr>
        <w:t>Prada</w:t>
      </w:r>
      <w:proofErr w:type="spellEnd"/>
      <w:r w:rsidRPr="007D6614">
        <w:rPr>
          <w:rFonts w:ascii="Times New Roman" w:eastAsia="Times New Roman" w:hAnsi="Times New Roman" w:cs="Microsoft Himalaya"/>
          <w:i/>
          <w:iCs/>
          <w:sz w:val="24"/>
          <w:szCs w:val="24"/>
        </w:rPr>
        <w:t xml:space="preserve"> v. İspanya</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42750/09, §§ 138-39, ECHR 2013), </w:t>
      </w:r>
      <w:proofErr w:type="spellStart"/>
      <w:r w:rsidRPr="007D6614">
        <w:rPr>
          <w:rFonts w:ascii="Times New Roman" w:eastAsia="Times New Roman" w:hAnsi="Times New Roman" w:cs="Microsoft Himalaya"/>
          <w:i/>
          <w:iCs/>
          <w:sz w:val="24"/>
          <w:szCs w:val="24"/>
        </w:rPr>
        <w:t>Ilaşcu</w:t>
      </w:r>
      <w:proofErr w:type="spellEnd"/>
      <w:r w:rsidRPr="007D6614">
        <w:rPr>
          <w:rFonts w:ascii="Times New Roman" w:eastAsia="Times New Roman" w:hAnsi="Times New Roman" w:cs="Microsoft Himalaya"/>
          <w:i/>
          <w:iCs/>
          <w:sz w:val="24"/>
          <w:szCs w:val="24"/>
        </w:rPr>
        <w:t xml:space="preserve"> ve diğerleri v. Moldova</w:t>
      </w:r>
      <w:r w:rsidRPr="007D6614">
        <w:rPr>
          <w:rFonts w:ascii="Times New Roman" w:eastAsia="Times New Roman" w:hAnsi="Times New Roman" w:cs="Microsoft Himalaya"/>
          <w:sz w:val="24"/>
          <w:szCs w:val="24"/>
        </w:rPr>
        <w:t xml:space="preserve"> </w:t>
      </w:r>
      <w:r w:rsidRPr="007D6614">
        <w:rPr>
          <w:rFonts w:ascii="Times New Roman" w:eastAsia="Times New Roman" w:hAnsi="Times New Roman" w:cs="Microsoft Himalaya"/>
          <w:i/>
          <w:iCs/>
          <w:sz w:val="24"/>
          <w:szCs w:val="24"/>
        </w:rPr>
        <w:t>ve Rusya</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48787/99, § </w:t>
      </w:r>
      <w:proofErr w:type="gramStart"/>
      <w:r w:rsidRPr="007D6614">
        <w:rPr>
          <w:rFonts w:ascii="Times New Roman" w:eastAsia="Times New Roman" w:hAnsi="Times New Roman" w:cs="Microsoft Himalaya"/>
          <w:sz w:val="24"/>
          <w:szCs w:val="24"/>
        </w:rPr>
        <w:t>490 , ECHR</w:t>
      </w:r>
      <w:proofErr w:type="gramEnd"/>
      <w:r w:rsidRPr="007D6614">
        <w:rPr>
          <w:rFonts w:ascii="Times New Roman" w:eastAsia="Times New Roman" w:hAnsi="Times New Roman" w:cs="Microsoft Himalaya"/>
          <w:sz w:val="24"/>
          <w:szCs w:val="24"/>
        </w:rPr>
        <w:t xml:space="preserve"> 2004-VII) ve </w:t>
      </w:r>
      <w:proofErr w:type="spellStart"/>
      <w:r w:rsidRPr="007D6614">
        <w:rPr>
          <w:rFonts w:ascii="Times New Roman" w:eastAsia="Times New Roman" w:hAnsi="Times New Roman" w:cs="Microsoft Himalaya"/>
          <w:i/>
          <w:iCs/>
          <w:sz w:val="24"/>
          <w:szCs w:val="24"/>
        </w:rPr>
        <w:t>Assanidze</w:t>
      </w:r>
      <w:proofErr w:type="spellEnd"/>
      <w:r w:rsidRPr="007D6614">
        <w:rPr>
          <w:rFonts w:ascii="Times New Roman" w:eastAsia="Times New Roman" w:hAnsi="Times New Roman" w:cs="Microsoft Himalaya"/>
          <w:i/>
          <w:iCs/>
          <w:sz w:val="24"/>
          <w:szCs w:val="24"/>
        </w:rPr>
        <w:t xml:space="preserve"> v. Gürcistan</w:t>
      </w:r>
      <w:r w:rsidRPr="007D6614">
        <w:rPr>
          <w:rFonts w:ascii="Times New Roman" w:eastAsia="Times New Roman" w:hAnsi="Times New Roman" w:cs="Microsoft Himalaya"/>
          <w:sz w:val="24"/>
          <w:szCs w:val="24"/>
        </w:rPr>
        <w:t xml:space="preserve"> ([BD],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71503/01, §§ 202-03, ECHR 2004 II) gibi tüm bu kararlarda başvurucuların serbest bırakılacağına dair gösterge, Mahkeme'nin ihlal bulduğu bir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e dayanmaktadır (ayrıca bakınız Daire kararlarıyla ilgili olarak, </w:t>
      </w:r>
      <w:proofErr w:type="spellStart"/>
      <w:r w:rsidRPr="007D6614">
        <w:rPr>
          <w:rFonts w:ascii="Times New Roman" w:eastAsia="Times New Roman" w:hAnsi="Times New Roman" w:cs="Microsoft Himalaya"/>
          <w:i/>
          <w:iCs/>
          <w:sz w:val="24"/>
          <w:szCs w:val="24"/>
        </w:rPr>
        <w:t>Aleksanyan</w:t>
      </w:r>
      <w:proofErr w:type="spellEnd"/>
      <w:r w:rsidRPr="007D6614">
        <w:rPr>
          <w:rFonts w:ascii="Times New Roman" w:eastAsia="Times New Roman" w:hAnsi="Times New Roman" w:cs="Microsoft Himalaya"/>
          <w:i/>
          <w:iCs/>
          <w:sz w:val="24"/>
          <w:szCs w:val="24"/>
        </w:rPr>
        <w:t xml:space="preserve"> v. Rusya</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46468/06, §§ 239-40, 22 Aralık 2008, </w:t>
      </w:r>
      <w:proofErr w:type="spellStart"/>
      <w:r w:rsidRPr="007D6614">
        <w:rPr>
          <w:rFonts w:ascii="Times New Roman" w:eastAsia="Times New Roman" w:hAnsi="Times New Roman" w:cs="Microsoft Himalaya"/>
          <w:i/>
          <w:iCs/>
          <w:sz w:val="24"/>
          <w:szCs w:val="24"/>
        </w:rPr>
        <w:t>Fatullayev</w:t>
      </w:r>
      <w:proofErr w:type="spellEnd"/>
      <w:r w:rsidRPr="007D6614">
        <w:rPr>
          <w:rFonts w:ascii="Times New Roman" w:eastAsia="Times New Roman" w:hAnsi="Times New Roman" w:cs="Microsoft Himalaya"/>
          <w:i/>
          <w:iCs/>
          <w:sz w:val="24"/>
          <w:szCs w:val="24"/>
        </w:rPr>
        <w:t xml:space="preserve"> v. Azerbaycan</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40984/07, §§ 176-77, 22 Nisan 2010 ve </w:t>
      </w:r>
      <w:r w:rsidRPr="007D6614">
        <w:rPr>
          <w:rFonts w:ascii="Times New Roman" w:eastAsia="Times New Roman" w:hAnsi="Times New Roman" w:cs="Microsoft Himalaya"/>
          <w:i/>
          <w:iCs/>
          <w:sz w:val="24"/>
          <w:szCs w:val="24"/>
        </w:rPr>
        <w:t>Şahin Alpay v. Türkiye</w:t>
      </w:r>
      <w:r w:rsidRPr="007D6614">
        <w:rPr>
          <w:rFonts w:ascii="Times New Roman" w:eastAsia="Times New Roman" w:hAnsi="Times New Roman" w:cs="Microsoft Himalaya"/>
          <w:sz w:val="24"/>
          <w:szCs w:val="24"/>
        </w:rPr>
        <w:t xml:space="preserve">, </w:t>
      </w:r>
      <w:proofErr w:type="spellStart"/>
      <w:r w:rsidRPr="007D6614">
        <w:rPr>
          <w:rFonts w:ascii="Times New Roman" w:eastAsia="Times New Roman" w:hAnsi="Times New Roman" w:cs="Microsoft Himalaya"/>
          <w:sz w:val="24"/>
          <w:szCs w:val="24"/>
        </w:rPr>
        <w:t>no</w:t>
      </w:r>
      <w:proofErr w:type="spellEnd"/>
      <w:r w:rsidRPr="007D6614">
        <w:rPr>
          <w:rFonts w:ascii="Times New Roman" w:eastAsia="Times New Roman" w:hAnsi="Times New Roman" w:cs="Microsoft Himalaya"/>
          <w:sz w:val="24"/>
          <w:szCs w:val="24"/>
        </w:rPr>
        <w:t xml:space="preserve">. 16538/17, §§ 193-95, 20 Mart </w:t>
      </w:r>
      <w:r w:rsidRPr="007D6614">
        <w:rPr>
          <w:rFonts w:ascii="Times New Roman" w:eastAsia="Times New Roman" w:hAnsi="Times New Roman" w:cs="Microsoft Himalaya"/>
          <w:sz w:val="24"/>
          <w:szCs w:val="24"/>
        </w:rPr>
        <w:lastRenderedPageBreak/>
        <w:t xml:space="preserve">2018). Mevcut davada, başvurucunun Eylül 2019'da emredilen ikinci tutukluluğu, ihlal tespit edilen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ler arasında yer almamaktadır.</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10. Yukarıdaki bilgiler ışığında, mevcut davada Sözleşme'nin 46. maddesinin uygulanmasına karşı oy kullandım.</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br w:type="page"/>
      </w:r>
    </w:p>
    <w:p w:rsidR="007D6614" w:rsidRPr="007D6614" w:rsidRDefault="007D6614" w:rsidP="007D6614">
      <w:pPr>
        <w:keepNext/>
        <w:keepLines/>
        <w:spacing w:after="240" w:line="240" w:lineRule="auto"/>
        <w:jc w:val="center"/>
        <w:outlineLvl w:val="0"/>
        <w:rPr>
          <w:rFonts w:ascii="Times New Roman" w:eastAsia="Times New Roman" w:hAnsi="Times New Roman" w:cs="Microsoft Himalaya"/>
          <w:sz w:val="28"/>
          <w:szCs w:val="24"/>
        </w:rPr>
      </w:pPr>
      <w:r w:rsidRPr="007D6614">
        <w:rPr>
          <w:rFonts w:ascii="Times New Roman" w:eastAsia="Times New Roman" w:hAnsi="Times New Roman" w:cs="Microsoft Himalaya"/>
          <w:sz w:val="28"/>
          <w:szCs w:val="24"/>
        </w:rPr>
        <w:lastRenderedPageBreak/>
        <w:t>YÜKSEL YARGIÇ YÜKSEL'İN KISMEN MUTABIK VE KISMEN MUHALEFET ŞERHİ</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bookmarkStart w:id="42" w:name="_Hlk57364101"/>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Başvurucunun Sözleşme'nin 5. maddesinin 4. fıkrası ve </w:t>
      </w:r>
      <w:proofErr w:type="spellStart"/>
      <w:r w:rsidRPr="007D6614">
        <w:rPr>
          <w:rFonts w:ascii="Times New Roman" w:eastAsia="Times New Roman" w:hAnsi="Times New Roman" w:cs="Microsoft Himalaya"/>
          <w:sz w:val="24"/>
          <w:szCs w:val="24"/>
        </w:rPr>
        <w:t>Sözleşme'ye</w:t>
      </w:r>
      <w:proofErr w:type="spellEnd"/>
      <w:r w:rsidRPr="007D6614">
        <w:rPr>
          <w:rFonts w:ascii="Times New Roman" w:eastAsia="Times New Roman" w:hAnsi="Times New Roman" w:cs="Microsoft Himalaya"/>
          <w:sz w:val="24"/>
          <w:szCs w:val="24"/>
        </w:rPr>
        <w:t xml:space="preserve"> Ek 1 Numaralı Protokol'ün 3. maddesi kapsamındaki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leri ile ilgili olduğu ölçüde, mevcut davadaki kararın bulgularına katılıyorum. Ancak, Sözleşmenin 5. maddesinin 1. ve 3. fıkralarının ve 10. ve 18. maddelerinin ihlal edildiğine dair çoğunluğun görüşünü paylaşamıyorum. </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t xml:space="preserve">Bununla birlikte, çoğunluğun </w:t>
      </w:r>
      <w:proofErr w:type="spellStart"/>
      <w:r w:rsidRPr="007D6614">
        <w:rPr>
          <w:rFonts w:ascii="Times New Roman" w:eastAsia="Times New Roman" w:hAnsi="Times New Roman" w:cs="Microsoft Himalaya"/>
          <w:sz w:val="24"/>
          <w:szCs w:val="24"/>
        </w:rPr>
        <w:t>Sözleşme’ye</w:t>
      </w:r>
      <w:proofErr w:type="spellEnd"/>
      <w:r w:rsidRPr="007D6614">
        <w:rPr>
          <w:rFonts w:ascii="Times New Roman" w:eastAsia="Times New Roman" w:hAnsi="Times New Roman" w:cs="Microsoft Himalaya"/>
          <w:sz w:val="24"/>
          <w:szCs w:val="24"/>
        </w:rPr>
        <w:t xml:space="preserve"> Ek 1 Numaralı Protokol'ün 3. maddesinin ihlal edildiği sonucuna ilişkin görüşünü paylaşırken, bu hüküm kapsamında ileri sürdükleri bazı </w:t>
      </w:r>
      <w:proofErr w:type="gramStart"/>
      <w:r w:rsidRPr="007D6614">
        <w:rPr>
          <w:rFonts w:ascii="Times New Roman" w:eastAsia="Times New Roman" w:hAnsi="Times New Roman" w:cs="Microsoft Himalaya"/>
          <w:sz w:val="24"/>
          <w:szCs w:val="24"/>
        </w:rPr>
        <w:t>argümanlara</w:t>
      </w:r>
      <w:proofErr w:type="gramEnd"/>
      <w:r w:rsidRPr="007D6614">
        <w:rPr>
          <w:rFonts w:ascii="Times New Roman" w:eastAsia="Times New Roman" w:hAnsi="Times New Roman" w:cs="Microsoft Himalaya"/>
          <w:sz w:val="24"/>
          <w:szCs w:val="24"/>
        </w:rPr>
        <w:t xml:space="preserve"> katılmıyorum.</w:t>
      </w:r>
    </w:p>
    <w:bookmarkEnd w:id="42"/>
    <w:p w:rsidR="007D6614" w:rsidRPr="007D6614" w:rsidRDefault="007D6614" w:rsidP="007D6614">
      <w:pPr>
        <w:keepNext/>
        <w:keepLines/>
        <w:numPr>
          <w:ilvl w:val="1"/>
          <w:numId w:val="50"/>
        </w:numPr>
        <w:tabs>
          <w:tab w:val="left" w:pos="454"/>
          <w:tab w:val="left" w:pos="567"/>
          <w:tab w:val="left" w:pos="680"/>
        </w:tabs>
        <w:spacing w:before="100" w:beforeAutospacing="1" w:after="240" w:line="240" w:lineRule="auto"/>
        <w:jc w:val="both"/>
        <w:outlineLvl w:val="1"/>
        <w:rPr>
          <w:rFonts w:ascii="Times New Roman" w:eastAsia="MS Gothic" w:hAnsi="Times New Roman" w:cs="Microsoft Himalaya"/>
          <w:bCs/>
          <w:caps/>
          <w:sz w:val="24"/>
          <w:szCs w:val="26"/>
        </w:rPr>
      </w:pPr>
      <w:r w:rsidRPr="007D6614">
        <w:rPr>
          <w:rFonts w:ascii="Times New Roman" w:eastAsia="MS Gothic" w:hAnsi="Times New Roman" w:cs="Microsoft Himalaya"/>
          <w:bCs/>
          <w:caps/>
          <w:sz w:val="24"/>
          <w:szCs w:val="26"/>
        </w:rPr>
        <w:t xml:space="preserve">SÖZLEŞME'NİN 10. MADDESİNE Yönelik </w:t>
      </w:r>
      <w:proofErr w:type="gramStart"/>
      <w:r w:rsidRPr="007D6614">
        <w:rPr>
          <w:rFonts w:ascii="Times New Roman" w:eastAsia="MS Gothic" w:hAnsi="Times New Roman" w:cs="Microsoft Himalaya"/>
          <w:bCs/>
          <w:caps/>
          <w:sz w:val="24"/>
          <w:szCs w:val="26"/>
        </w:rPr>
        <w:t>ŞİKAYETE</w:t>
      </w:r>
      <w:proofErr w:type="gramEnd"/>
      <w:r w:rsidRPr="007D6614">
        <w:rPr>
          <w:rFonts w:ascii="Times New Roman" w:eastAsia="MS Gothic" w:hAnsi="Times New Roman" w:cs="Microsoft Himalaya"/>
          <w:bCs/>
          <w:caps/>
          <w:sz w:val="24"/>
          <w:szCs w:val="26"/>
        </w:rPr>
        <w:t xml:space="preserve"> İLİŞKİN</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Microsoft Himalaya"/>
          <w:sz w:val="24"/>
          <w:szCs w:val="24"/>
        </w:rPr>
        <w:fldChar w:fldCharType="begin"/>
      </w:r>
      <w:r w:rsidRPr="007D6614">
        <w:rPr>
          <w:rFonts w:ascii="Times New Roman" w:eastAsia="Times New Roman" w:hAnsi="Times New Roman" w:cs="Microsoft Himalaya"/>
          <w:sz w:val="24"/>
          <w:szCs w:val="24"/>
        </w:rPr>
        <w:instrText xml:space="preserve"> SEQ level0 \*arabic \r1 </w:instrText>
      </w:r>
      <w:r w:rsidRPr="007D6614">
        <w:rPr>
          <w:rFonts w:ascii="Times New Roman" w:eastAsia="Times New Roman" w:hAnsi="Times New Roman" w:cs="Microsoft Himalaya"/>
          <w:sz w:val="24"/>
          <w:szCs w:val="24"/>
        </w:rPr>
        <w:fldChar w:fldCharType="separate"/>
      </w:r>
      <w:r w:rsidR="001302A1">
        <w:rPr>
          <w:rFonts w:ascii="Times New Roman" w:eastAsia="Times New Roman" w:hAnsi="Times New Roman" w:cs="Microsoft Himalaya"/>
          <w:noProof/>
          <w:sz w:val="24"/>
          <w:szCs w:val="24"/>
        </w:rPr>
        <w:t>1</w:t>
      </w:r>
      <w:r w:rsidRPr="007D6614">
        <w:rPr>
          <w:rFonts w:ascii="Times New Roman" w:eastAsia="Times New Roman" w:hAnsi="Times New Roman" w:cs="Microsoft Himalaya"/>
          <w:sz w:val="24"/>
          <w:szCs w:val="24"/>
        </w:rPr>
        <w:fldChar w:fldCharType="end"/>
      </w:r>
      <w:r w:rsidRPr="007D6614">
        <w:rPr>
          <w:rFonts w:ascii="Times New Roman" w:eastAsia="Times New Roman" w:hAnsi="Times New Roman" w:cs="Microsoft Himalaya"/>
          <w:sz w:val="24"/>
          <w:szCs w:val="24"/>
        </w:rPr>
        <w:t>.  </w:t>
      </w:r>
      <w:proofErr w:type="gramStart"/>
      <w:r w:rsidRPr="007D6614">
        <w:rPr>
          <w:rFonts w:ascii="Times New Roman" w:eastAsia="Times New Roman" w:hAnsi="Times New Roman" w:cs="Microsoft Himalaya"/>
          <w:sz w:val="24"/>
          <w:szCs w:val="24"/>
        </w:rPr>
        <w:t xml:space="preserve">Mevcut davada, Sözleşme'nin 10. maddesinin ihlal edildiği sonucuna vararak, Büyük Daire, yasama dokunulmazlığının kaldırılmasına ilişkin 20 Mayıs 2016 tarihli anayasa değişikliğinin öngörülebilirliğini ve Türk Ceza Kanunu’nun silahlı terör örgütünü yönetme ve/veya örgüte üye olmaya ilişkin 314. maddesinin 1. ve 2. fıkralarının hukuka uygunluğunu başvurucunun davasının özel koşullarında uygulandığı gibi incelemeyi tercih etmiştir.  </w:t>
      </w:r>
      <w:proofErr w:type="gramEnd"/>
      <w:r w:rsidRPr="007D6614">
        <w:rPr>
          <w:rFonts w:ascii="Times New Roman" w:eastAsia="Times New Roman" w:hAnsi="Times New Roman" w:cs="Microsoft Himalaya"/>
          <w:sz w:val="24"/>
          <w:szCs w:val="24"/>
        </w:rPr>
        <w:t>Çoğunluğun görüşüne göre, Anayasa değişikliğinin ve Türk Ceza Kanunu’nun 314. maddesinin 1. ve 2. fıkralarının yorumlandığı ve uygulandığı şekliyle Sözleşme'nin 10. maddesi kapsamındaki kanun niteliği şartını taşımaması nedeniyle başvurucunun ifade özgürlüğüne müdahale kanunla öngörülmemiştir. Aşağıdaki nedenlerden dolayı bu noktada çoğunluğa saygıyla katılmıyorum.</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Mevcut davada gözlemlenen müdahalenin kanunla öngörüldüğüne ve dolayısıyla hukuka uygunluk şartını karşıladığına inanıyorum (hukuka uygunluk konusunda Sözleşme'nin 5. ve 10. maddeleri arasındaki etkileşim için </w:t>
      </w:r>
      <w:r w:rsidRPr="007D6614">
        <w:rPr>
          <w:rFonts w:ascii="Times New Roman" w:eastAsia="Times New Roman" w:hAnsi="Times New Roman" w:cs="Times New Roman"/>
          <w:i/>
          <w:iCs/>
          <w:sz w:val="24"/>
          <w:szCs w:val="24"/>
        </w:rPr>
        <w:t xml:space="preserve">Ragıp </w:t>
      </w:r>
      <w:proofErr w:type="spellStart"/>
      <w:r w:rsidRPr="007D6614">
        <w:rPr>
          <w:rFonts w:ascii="Times New Roman" w:eastAsia="Times New Roman" w:hAnsi="Times New Roman" w:cs="Times New Roman"/>
          <w:i/>
          <w:iCs/>
          <w:sz w:val="24"/>
          <w:szCs w:val="24"/>
        </w:rPr>
        <w:t>Zarakolu</w:t>
      </w:r>
      <w:proofErr w:type="spellEnd"/>
      <w:r w:rsidRPr="007D6614">
        <w:rPr>
          <w:rFonts w:ascii="Times New Roman" w:eastAsia="Times New Roman" w:hAnsi="Times New Roman" w:cs="Times New Roman"/>
          <w:i/>
          <w:iCs/>
          <w:sz w:val="24"/>
          <w:szCs w:val="24"/>
        </w:rPr>
        <w:t xml:space="preserve"> v. Türkiye</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15064/12, 15 Eylül 2020 davasındaki muhalif görüşüme bakınız). Bu nedenle, mevcut davadaki müdahale, aşağıda detaylandıracağım nedenlerden dolayı, Sözleşme'nin 10. maddesi anlamında gereklilik testi uygulanarak incelenmiştir (bakınız bu bağlamda, </w:t>
      </w:r>
      <w:r w:rsidRPr="007D6614">
        <w:rPr>
          <w:rFonts w:ascii="Times New Roman" w:eastAsia="Times New Roman" w:hAnsi="Times New Roman" w:cs="Times New Roman"/>
          <w:i/>
          <w:iCs/>
          <w:sz w:val="24"/>
          <w:szCs w:val="24"/>
        </w:rPr>
        <w:t>Mehmet Hasan Altan v. Türkiye</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13237/17, §§ 202 14, 20 Mart 2018; </w:t>
      </w:r>
      <w:r w:rsidRPr="007D6614">
        <w:rPr>
          <w:rFonts w:ascii="Times New Roman" w:eastAsia="Times New Roman" w:hAnsi="Times New Roman" w:cs="Times New Roman"/>
          <w:i/>
          <w:iCs/>
          <w:sz w:val="24"/>
          <w:szCs w:val="24"/>
        </w:rPr>
        <w:t>Steel ve diğerleri v. Birleşik Krallık</w:t>
      </w:r>
      <w:r w:rsidRPr="007D6614">
        <w:rPr>
          <w:rFonts w:ascii="Times New Roman" w:eastAsia="Times New Roman" w:hAnsi="Times New Roman" w:cs="Times New Roman"/>
          <w:sz w:val="24"/>
          <w:szCs w:val="24"/>
        </w:rPr>
        <w:t xml:space="preserve">, 23 Eylül 1998, § 110, </w:t>
      </w:r>
      <w:proofErr w:type="spellStart"/>
      <w:r w:rsidRPr="007D6614">
        <w:rPr>
          <w:rFonts w:ascii="Times New Roman" w:eastAsia="Times New Roman" w:hAnsi="Times New Roman" w:cs="Times New Roman"/>
          <w:i/>
          <w:sz w:val="24"/>
          <w:szCs w:val="24"/>
        </w:rPr>
        <w:t>Reports</w:t>
      </w:r>
      <w:proofErr w:type="spellEnd"/>
      <w:r w:rsidRPr="007D6614">
        <w:rPr>
          <w:rFonts w:ascii="Times New Roman" w:eastAsia="Times New Roman" w:hAnsi="Times New Roman" w:cs="Times New Roman"/>
          <w:i/>
          <w:sz w:val="24"/>
          <w:szCs w:val="24"/>
        </w:rPr>
        <w:t xml:space="preserve"> of </w:t>
      </w:r>
      <w:proofErr w:type="spellStart"/>
      <w:r w:rsidRPr="007D6614">
        <w:rPr>
          <w:rFonts w:ascii="Times New Roman" w:eastAsia="Times New Roman" w:hAnsi="Times New Roman" w:cs="Times New Roman"/>
          <w:i/>
          <w:sz w:val="24"/>
          <w:szCs w:val="24"/>
        </w:rPr>
        <w:t>Judgments</w:t>
      </w:r>
      <w:proofErr w:type="spellEnd"/>
      <w:r w:rsidRPr="007D6614">
        <w:rPr>
          <w:rFonts w:ascii="Times New Roman" w:eastAsia="Times New Roman" w:hAnsi="Times New Roman" w:cs="Times New Roman"/>
          <w:i/>
          <w:sz w:val="24"/>
          <w:szCs w:val="24"/>
        </w:rPr>
        <w:t xml:space="preserve"> </w:t>
      </w:r>
      <w:proofErr w:type="spellStart"/>
      <w:r w:rsidRPr="007D6614">
        <w:rPr>
          <w:rFonts w:ascii="Times New Roman" w:eastAsia="Times New Roman" w:hAnsi="Times New Roman" w:cs="Times New Roman"/>
          <w:i/>
          <w:sz w:val="24"/>
          <w:szCs w:val="24"/>
        </w:rPr>
        <w:t>and</w:t>
      </w:r>
      <w:proofErr w:type="spellEnd"/>
      <w:r w:rsidRPr="007D6614">
        <w:rPr>
          <w:rFonts w:ascii="Times New Roman" w:eastAsia="Times New Roman" w:hAnsi="Times New Roman" w:cs="Times New Roman"/>
          <w:i/>
          <w:sz w:val="24"/>
          <w:szCs w:val="24"/>
        </w:rPr>
        <w:t xml:space="preserve"> </w:t>
      </w:r>
      <w:proofErr w:type="spellStart"/>
      <w:r w:rsidRPr="007D6614">
        <w:rPr>
          <w:rFonts w:ascii="Times New Roman" w:eastAsia="Times New Roman" w:hAnsi="Times New Roman" w:cs="Times New Roman"/>
          <w:i/>
          <w:sz w:val="24"/>
          <w:szCs w:val="24"/>
        </w:rPr>
        <w:t>Decisions</w:t>
      </w:r>
      <w:proofErr w:type="spellEnd"/>
      <w:r w:rsidRPr="007D6614">
        <w:rPr>
          <w:rFonts w:ascii="Times New Roman" w:eastAsia="Times New Roman" w:hAnsi="Times New Roman" w:cs="Times New Roman"/>
          <w:sz w:val="24"/>
          <w:szCs w:val="24"/>
        </w:rPr>
        <w:t xml:space="preserve"> 1998 </w:t>
      </w:r>
      <w:proofErr w:type="gramStart"/>
      <w:r w:rsidRPr="007D6614">
        <w:rPr>
          <w:rFonts w:ascii="Times New Roman" w:eastAsia="Times New Roman" w:hAnsi="Times New Roman" w:cs="Times New Roman"/>
          <w:sz w:val="24"/>
          <w:szCs w:val="24"/>
        </w:rPr>
        <w:t>VII;</w:t>
      </w:r>
      <w:proofErr w:type="gramEnd"/>
      <w:r w:rsidRPr="007D6614">
        <w:rPr>
          <w:rFonts w:ascii="Times New Roman" w:eastAsia="Times New Roman" w:hAnsi="Times New Roman" w:cs="Times New Roman"/>
          <w:sz w:val="24"/>
          <w:szCs w:val="24"/>
        </w:rPr>
        <w:t xml:space="preserve"> ve </w:t>
      </w:r>
      <w:proofErr w:type="spellStart"/>
      <w:r w:rsidRPr="007D6614">
        <w:rPr>
          <w:rFonts w:ascii="Times New Roman" w:eastAsia="Times New Roman" w:hAnsi="Times New Roman" w:cs="Times New Roman"/>
          <w:i/>
          <w:iCs/>
          <w:sz w:val="24"/>
          <w:szCs w:val="24"/>
        </w:rPr>
        <w:t>Kandzhov</w:t>
      </w:r>
      <w:proofErr w:type="spellEnd"/>
      <w:r w:rsidRPr="007D6614">
        <w:rPr>
          <w:rFonts w:ascii="Times New Roman" w:eastAsia="Times New Roman" w:hAnsi="Times New Roman" w:cs="Times New Roman"/>
          <w:i/>
          <w:iCs/>
          <w:sz w:val="24"/>
          <w:szCs w:val="24"/>
        </w:rPr>
        <w:t xml:space="preserve"> v. Bulgaristan</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68294/01, § 73, 6 Kasım 2008).</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3</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Mahkeme’nin yerleşik içtihadına göre, bir kural, kamu makamlarının keyfi müdahalelerine karşı bir önlem sağladığında "</w:t>
      </w:r>
      <w:proofErr w:type="spellStart"/>
      <w:r w:rsidRPr="007D6614">
        <w:rPr>
          <w:rFonts w:ascii="Times New Roman" w:eastAsia="Times New Roman" w:hAnsi="Times New Roman" w:cs="Times New Roman"/>
          <w:sz w:val="24"/>
          <w:szCs w:val="24"/>
        </w:rPr>
        <w:t>öngörülebilir"dir</w:t>
      </w:r>
      <w:proofErr w:type="spellEnd"/>
      <w:r w:rsidRPr="007D6614">
        <w:rPr>
          <w:rFonts w:ascii="Times New Roman" w:eastAsia="Times New Roman" w:hAnsi="Times New Roman" w:cs="Times New Roman"/>
          <w:sz w:val="24"/>
          <w:szCs w:val="24"/>
        </w:rPr>
        <w:t xml:space="preserve"> (bakınız, diğer kararların yanı sıra, </w:t>
      </w:r>
      <w:proofErr w:type="spellStart"/>
      <w:r w:rsidRPr="007D6614">
        <w:rPr>
          <w:rFonts w:ascii="Times New Roman" w:eastAsia="Times New Roman" w:hAnsi="Times New Roman" w:cs="Times New Roman"/>
          <w:i/>
          <w:iCs/>
          <w:sz w:val="24"/>
          <w:szCs w:val="24"/>
        </w:rPr>
        <w:t>Centro</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Europa</w:t>
      </w:r>
      <w:proofErr w:type="spellEnd"/>
      <w:r w:rsidRPr="007D6614">
        <w:rPr>
          <w:rFonts w:ascii="Times New Roman" w:eastAsia="Times New Roman" w:hAnsi="Times New Roman" w:cs="Times New Roman"/>
          <w:i/>
          <w:iCs/>
          <w:sz w:val="24"/>
          <w:szCs w:val="24"/>
        </w:rPr>
        <w:t xml:space="preserve"> 7 </w:t>
      </w:r>
      <w:proofErr w:type="spellStart"/>
      <w:r w:rsidRPr="007D6614">
        <w:rPr>
          <w:rFonts w:ascii="Times New Roman" w:eastAsia="Times New Roman" w:hAnsi="Times New Roman" w:cs="Times New Roman"/>
          <w:i/>
          <w:iCs/>
          <w:sz w:val="24"/>
          <w:szCs w:val="24"/>
        </w:rPr>
        <w:t>S.r.l</w:t>
      </w:r>
      <w:proofErr w:type="spellEnd"/>
      <w:r w:rsidRPr="007D6614">
        <w:rPr>
          <w:rFonts w:ascii="Times New Roman" w:eastAsia="Times New Roman" w:hAnsi="Times New Roman" w:cs="Times New Roman"/>
          <w:i/>
          <w:iCs/>
          <w:sz w:val="24"/>
          <w:szCs w:val="24"/>
        </w:rPr>
        <w:t xml:space="preserve">. ve </w:t>
      </w:r>
      <w:proofErr w:type="spellStart"/>
      <w:r w:rsidRPr="007D6614">
        <w:rPr>
          <w:rFonts w:ascii="Times New Roman" w:eastAsia="Times New Roman" w:hAnsi="Times New Roman" w:cs="Times New Roman"/>
          <w:i/>
          <w:iCs/>
          <w:sz w:val="24"/>
          <w:szCs w:val="24"/>
        </w:rPr>
        <w:t>Di</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Stefano</w:t>
      </w:r>
      <w:proofErr w:type="spellEnd"/>
      <w:r w:rsidRPr="007D6614">
        <w:rPr>
          <w:rFonts w:ascii="Times New Roman" w:eastAsia="Times New Roman" w:hAnsi="Times New Roman" w:cs="Times New Roman"/>
          <w:i/>
          <w:iCs/>
          <w:sz w:val="24"/>
          <w:szCs w:val="24"/>
        </w:rPr>
        <w:t xml:space="preserve"> v. </w:t>
      </w:r>
      <w:r w:rsidRPr="007D6614">
        <w:rPr>
          <w:rFonts w:ascii="Times New Roman" w:eastAsia="Times New Roman" w:hAnsi="Times New Roman" w:cs="Times New Roman"/>
          <w:i/>
          <w:iCs/>
          <w:sz w:val="24"/>
          <w:szCs w:val="24"/>
        </w:rPr>
        <w:lastRenderedPageBreak/>
        <w:t xml:space="preserve">İtalya </w:t>
      </w:r>
      <w:r w:rsidRPr="007D6614">
        <w:rPr>
          <w:rFonts w:ascii="Times New Roman" w:eastAsia="Times New Roman" w:hAnsi="Times New Roman" w:cs="Times New Roman"/>
          <w:sz w:val="24"/>
          <w:szCs w:val="24"/>
        </w:rPr>
        <w:t xml:space="preserve">[BD],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38433/09, § 143, ECHR 2012). Ayrıca, kişilerin davranışlarını düzenlemelerini sağlamak için yeterli hassasiyetle bir norm formüle edilmelidir. Aslında, bireylerin, belirli bir eylemin yol açabileceği sonuçları makul ölçüde öngörmesi gerekir (bakınız diğer kararlar arasında, </w:t>
      </w:r>
      <w:proofErr w:type="spellStart"/>
      <w:r w:rsidRPr="007D6614">
        <w:rPr>
          <w:rFonts w:ascii="Times New Roman" w:eastAsia="Times New Roman" w:hAnsi="Times New Roman" w:cs="Times New Roman"/>
          <w:i/>
          <w:iCs/>
          <w:sz w:val="24"/>
          <w:szCs w:val="24"/>
        </w:rPr>
        <w:t>Karácsony</w:t>
      </w:r>
      <w:proofErr w:type="spellEnd"/>
      <w:r w:rsidRPr="007D6614">
        <w:rPr>
          <w:rFonts w:ascii="Times New Roman" w:eastAsia="Times New Roman" w:hAnsi="Times New Roman" w:cs="Times New Roman"/>
          <w:i/>
          <w:iCs/>
          <w:sz w:val="24"/>
          <w:szCs w:val="24"/>
        </w:rPr>
        <w:t xml:space="preserve"> ve Diğerleri v. Macaristan</w:t>
      </w:r>
      <w:r w:rsidRPr="007D6614">
        <w:rPr>
          <w:rFonts w:ascii="Times New Roman" w:eastAsia="Times New Roman" w:hAnsi="Times New Roman" w:cs="Times New Roman"/>
          <w:sz w:val="24"/>
          <w:szCs w:val="24"/>
        </w:rPr>
        <w:t xml:space="preserve"> [BD],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42461/13 ve 44357/13, § 124, 17 Mayıs 2016; </w:t>
      </w:r>
      <w:proofErr w:type="spellStart"/>
      <w:r w:rsidRPr="007D6614">
        <w:rPr>
          <w:rFonts w:ascii="Times New Roman" w:eastAsia="Times New Roman" w:hAnsi="Times New Roman" w:cs="Times New Roman"/>
          <w:i/>
          <w:iCs/>
          <w:sz w:val="24"/>
          <w:szCs w:val="24"/>
        </w:rPr>
        <w:t>Delfi</w:t>
      </w:r>
      <w:proofErr w:type="spellEnd"/>
      <w:r w:rsidRPr="007D6614">
        <w:rPr>
          <w:rFonts w:ascii="Times New Roman" w:eastAsia="Times New Roman" w:hAnsi="Times New Roman" w:cs="Times New Roman"/>
          <w:i/>
          <w:iCs/>
          <w:sz w:val="24"/>
          <w:szCs w:val="24"/>
        </w:rPr>
        <w:t xml:space="preserve"> AS v. Estonya</w:t>
      </w:r>
      <w:r w:rsidRPr="007D6614">
        <w:rPr>
          <w:rFonts w:ascii="Times New Roman" w:eastAsia="Times New Roman" w:hAnsi="Times New Roman" w:cs="Times New Roman"/>
          <w:sz w:val="24"/>
          <w:szCs w:val="24"/>
        </w:rPr>
        <w:t xml:space="preserve"> [BD],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64569/09, § 121, ECHR </w:t>
      </w:r>
      <w:proofErr w:type="gramStart"/>
      <w:r w:rsidRPr="007D6614">
        <w:rPr>
          <w:rFonts w:ascii="Times New Roman" w:eastAsia="Times New Roman" w:hAnsi="Times New Roman" w:cs="Times New Roman"/>
          <w:sz w:val="24"/>
          <w:szCs w:val="24"/>
        </w:rPr>
        <w:t>2015;</w:t>
      </w:r>
      <w:proofErr w:type="gramEnd"/>
      <w:r w:rsidRPr="007D6614">
        <w:rPr>
          <w:rFonts w:ascii="Times New Roman" w:eastAsia="Times New Roman" w:hAnsi="Times New Roman" w:cs="Times New Roman"/>
          <w:sz w:val="24"/>
          <w:szCs w:val="24"/>
        </w:rPr>
        <w:t xml:space="preserve"> </w:t>
      </w:r>
      <w:r w:rsidRPr="007D6614">
        <w:rPr>
          <w:rFonts w:ascii="Times New Roman" w:eastAsia="Times New Roman" w:hAnsi="Times New Roman" w:cs="Times New Roman"/>
          <w:i/>
          <w:iCs/>
          <w:sz w:val="24"/>
          <w:szCs w:val="24"/>
        </w:rPr>
        <w:t xml:space="preserve">ve </w:t>
      </w:r>
      <w:proofErr w:type="spellStart"/>
      <w:r w:rsidRPr="007D6614">
        <w:rPr>
          <w:rFonts w:ascii="Times New Roman" w:eastAsia="Times New Roman" w:hAnsi="Times New Roman" w:cs="Times New Roman"/>
          <w:i/>
          <w:iCs/>
          <w:sz w:val="24"/>
          <w:szCs w:val="24"/>
        </w:rPr>
        <w:t>Centro</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Europa</w:t>
      </w:r>
      <w:proofErr w:type="spellEnd"/>
      <w:r w:rsidRPr="007D6614">
        <w:rPr>
          <w:rFonts w:ascii="Times New Roman" w:eastAsia="Times New Roman" w:hAnsi="Times New Roman" w:cs="Times New Roman"/>
          <w:i/>
          <w:iCs/>
          <w:sz w:val="24"/>
          <w:szCs w:val="24"/>
        </w:rPr>
        <w:t xml:space="preserve"> 7 </w:t>
      </w:r>
      <w:proofErr w:type="spellStart"/>
      <w:r w:rsidRPr="007D6614">
        <w:rPr>
          <w:rFonts w:ascii="Times New Roman" w:eastAsia="Times New Roman" w:hAnsi="Times New Roman" w:cs="Times New Roman"/>
          <w:i/>
          <w:iCs/>
          <w:sz w:val="24"/>
          <w:szCs w:val="24"/>
        </w:rPr>
        <w:t>Srl</w:t>
      </w:r>
      <w:proofErr w:type="spellEnd"/>
      <w:r w:rsidRPr="007D6614">
        <w:rPr>
          <w:rFonts w:ascii="Times New Roman" w:eastAsia="Times New Roman" w:hAnsi="Times New Roman" w:cs="Times New Roman"/>
          <w:i/>
          <w:iCs/>
          <w:sz w:val="24"/>
          <w:szCs w:val="24"/>
        </w:rPr>
        <w:t xml:space="preserve"> ve </w:t>
      </w:r>
      <w:proofErr w:type="spellStart"/>
      <w:r w:rsidRPr="007D6614">
        <w:rPr>
          <w:rFonts w:ascii="Times New Roman" w:eastAsia="Times New Roman" w:hAnsi="Times New Roman" w:cs="Times New Roman"/>
          <w:i/>
          <w:iCs/>
          <w:sz w:val="24"/>
          <w:szCs w:val="24"/>
        </w:rPr>
        <w:t>Di</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Stefano</w:t>
      </w:r>
      <w:proofErr w:type="spellEnd"/>
      <w:r w:rsidRPr="007D6614">
        <w:rPr>
          <w:rFonts w:ascii="Times New Roman" w:eastAsia="Times New Roman" w:hAnsi="Times New Roman" w:cs="Times New Roman"/>
          <w:sz w:val="24"/>
          <w:szCs w:val="24"/>
        </w:rPr>
        <w:t xml:space="preserve">, yukarıda anılan, § 141). Öngörülebilirlik, bir normun uygulanmasına ilişkin tüm </w:t>
      </w:r>
      <w:proofErr w:type="gramStart"/>
      <w:r w:rsidRPr="007D6614">
        <w:rPr>
          <w:rFonts w:ascii="Times New Roman" w:eastAsia="Times New Roman" w:hAnsi="Times New Roman" w:cs="Times New Roman"/>
          <w:sz w:val="24"/>
          <w:szCs w:val="24"/>
        </w:rPr>
        <w:t>prosedürlerin</w:t>
      </w:r>
      <w:proofErr w:type="gramEnd"/>
      <w:r w:rsidRPr="007D6614">
        <w:rPr>
          <w:rFonts w:ascii="Times New Roman" w:eastAsia="Times New Roman" w:hAnsi="Times New Roman" w:cs="Times New Roman"/>
          <w:sz w:val="24"/>
          <w:szCs w:val="24"/>
        </w:rPr>
        <w:t xml:space="preserve"> norm metninde yer almasını gerektirmez (bakınız </w:t>
      </w:r>
      <w:proofErr w:type="spellStart"/>
      <w:r w:rsidRPr="007D6614">
        <w:rPr>
          <w:rFonts w:ascii="Times New Roman" w:eastAsia="Times New Roman" w:hAnsi="Times New Roman" w:cs="Times New Roman"/>
          <w:i/>
          <w:iCs/>
          <w:sz w:val="24"/>
          <w:szCs w:val="24"/>
        </w:rPr>
        <w:t>Magyar</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Kétfarkú</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Kutya</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Párt</w:t>
      </w:r>
      <w:proofErr w:type="spellEnd"/>
      <w:r w:rsidRPr="007D6614">
        <w:rPr>
          <w:rFonts w:ascii="Times New Roman" w:eastAsia="Times New Roman" w:hAnsi="Times New Roman" w:cs="Times New Roman"/>
          <w:i/>
          <w:iCs/>
          <w:sz w:val="24"/>
          <w:szCs w:val="24"/>
        </w:rPr>
        <w:t xml:space="preserve"> v. Macaristan</w:t>
      </w:r>
      <w:r w:rsidRPr="007D6614">
        <w:rPr>
          <w:rFonts w:ascii="Times New Roman" w:eastAsia="Times New Roman" w:hAnsi="Times New Roman" w:cs="Times New Roman"/>
          <w:sz w:val="24"/>
          <w:szCs w:val="24"/>
        </w:rPr>
        <w:t xml:space="preserve"> [BD],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201/17, § 94, 20 Ocak 2020).</w:t>
      </w:r>
    </w:p>
    <w:p w:rsidR="007D6614" w:rsidRPr="007D6614" w:rsidRDefault="007D6614" w:rsidP="007D6614">
      <w:pPr>
        <w:spacing w:after="0" w:line="240" w:lineRule="auto"/>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4</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Bu durum Sözleşme'nin 34. maddesi uyarınca getirilen bireysel bir başvuruyu incelerken Mahkeme’nin görevinin, özet olarak iç hukuku incelemek değil, başvurucuya uygulanma şeklinin Sözleşme'nin ihlaline yol açıp açmadığını belirlemek (</w:t>
      </w:r>
      <w:proofErr w:type="spellStart"/>
      <w:r w:rsidRPr="007D6614">
        <w:rPr>
          <w:rFonts w:ascii="Times New Roman" w:eastAsia="Times New Roman" w:hAnsi="Times New Roman" w:cs="Times New Roman"/>
          <w:sz w:val="24"/>
          <w:szCs w:val="24"/>
        </w:rPr>
        <w:t>a.g</w:t>
      </w:r>
      <w:proofErr w:type="spellEnd"/>
      <w:proofErr w:type="gramStart"/>
      <w:r w:rsidRPr="007D6614">
        <w:rPr>
          <w:rFonts w:ascii="Times New Roman" w:eastAsia="Times New Roman" w:hAnsi="Times New Roman" w:cs="Times New Roman"/>
          <w:sz w:val="24"/>
          <w:szCs w:val="24"/>
        </w:rPr>
        <w:t>.,</w:t>
      </w:r>
      <w:proofErr w:type="gramEnd"/>
      <w:r w:rsidRPr="007D6614">
        <w:rPr>
          <w:rFonts w:ascii="Times New Roman" w:eastAsia="Times New Roman" w:hAnsi="Times New Roman" w:cs="Times New Roman"/>
          <w:sz w:val="24"/>
          <w:szCs w:val="24"/>
        </w:rPr>
        <w:t xml:space="preserve"> § 96) olması son derece önemlidir. Benim görüşüme göre, Büyük Daire, Sözleşme'nin 10. maddesi kapsamındaki “kanunla öngörülme” şartına ilişkin genel ilkeleri anlamlı bir şekilde belirlemesine rağmen bu ilkelere dayanan değerlendirmesi, anayasa değişikliğinin ve Türk Ceza Kanunu'nun </w:t>
      </w:r>
      <w:r w:rsidRPr="007D6614">
        <w:rPr>
          <w:rFonts w:ascii="Times New Roman" w:eastAsia="Times New Roman" w:hAnsi="Times New Roman" w:cs="Microsoft Himalaya"/>
          <w:sz w:val="24"/>
          <w:szCs w:val="24"/>
        </w:rPr>
        <w:t xml:space="preserve">314. maddesinin 1. ve 2. fıkralarının </w:t>
      </w:r>
      <w:r w:rsidRPr="007D6614">
        <w:rPr>
          <w:rFonts w:ascii="Times New Roman" w:eastAsia="Times New Roman" w:hAnsi="Times New Roman" w:cs="Times New Roman"/>
          <w:sz w:val="24"/>
          <w:szCs w:val="24"/>
        </w:rPr>
        <w:t>soyut bir incelemesi gibi görünmektedir ve bu nedenle yerleşik içtihadımıza aykırıdır.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5</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Yukarıdakiler ışığında, aşağıdaki noktaları ele alacağım: (i) anayasa değişikliğinin öngörülebilirliği, (ii) başvurucunun davasında yorumlandığı ve uygulandığı şekliyle Türk Ceza Kanunun </w:t>
      </w:r>
      <w:r w:rsidRPr="007D6614">
        <w:rPr>
          <w:rFonts w:ascii="Times New Roman" w:eastAsia="Times New Roman" w:hAnsi="Times New Roman" w:cs="Microsoft Himalaya"/>
          <w:sz w:val="24"/>
          <w:szCs w:val="24"/>
        </w:rPr>
        <w:t xml:space="preserve">314. maddesinin 1. ve 2. fıkralarının </w:t>
      </w:r>
      <w:r w:rsidRPr="007D6614">
        <w:rPr>
          <w:rFonts w:ascii="Times New Roman" w:eastAsia="Times New Roman" w:hAnsi="Times New Roman" w:cs="Times New Roman"/>
          <w:sz w:val="24"/>
          <w:szCs w:val="24"/>
        </w:rPr>
        <w:t>“kanunun niteliği” şartını karşılayıp karşılamadığı sorusu ve (iii) başvurucunun Sözleşme'nin 10. maddesi kapsamındaki haklarına yapılan müdahalenin haklı olup olmadığı sorusu.</w:t>
      </w:r>
    </w:p>
    <w:p w:rsidR="007D6614" w:rsidRPr="007D6614" w:rsidRDefault="007D6614" w:rsidP="007D6614">
      <w:pPr>
        <w:spacing w:after="0" w:line="240" w:lineRule="auto"/>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t xml:space="preserve">(i) Anayasa değişikliği ile ilgili olarak, ilk olarak Daire'nin 20 Kasım 2018 tarihli kararında, Sözleşme'nin 5. maddesinin 1. fıkrası kapsamında da olsa, </w:t>
      </w:r>
      <w:proofErr w:type="gramStart"/>
      <w:r w:rsidRPr="007D6614">
        <w:rPr>
          <w:rFonts w:ascii="Times New Roman" w:eastAsia="Times New Roman" w:hAnsi="Times New Roman" w:cs="Times New Roman"/>
          <w:sz w:val="24"/>
          <w:szCs w:val="24"/>
        </w:rPr>
        <w:t>halihazırda</w:t>
      </w:r>
      <w:proofErr w:type="gramEnd"/>
      <w:r w:rsidRPr="007D6614">
        <w:rPr>
          <w:rFonts w:ascii="Times New Roman" w:eastAsia="Times New Roman" w:hAnsi="Times New Roman" w:cs="Times New Roman"/>
          <w:sz w:val="24"/>
          <w:szCs w:val="24"/>
        </w:rPr>
        <w:t xml:space="preserve"> incelemiş olduğunu yinelemek isterim, başvurucunun anayasa değişikliğinin “kanun niteliği” gerekliliğini karşılamadığına dair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i, açıkça dayanaktan yoksun olduğu gerekçesiyle kabul edilemez olduğu beyan etmiştir. Ayrıca, söz konusu anayasa değişikliğinin, muhalefet partilerine mensup milletvekilleri de </w:t>
      </w:r>
      <w:r w:rsidR="00DA1D16">
        <w:rPr>
          <w:rFonts w:ascii="Times New Roman" w:eastAsia="Times New Roman" w:hAnsi="Times New Roman" w:cs="Times New Roman"/>
          <w:sz w:val="24"/>
          <w:szCs w:val="24"/>
        </w:rPr>
        <w:t>dâhil</w:t>
      </w:r>
      <w:r w:rsidRPr="007D6614">
        <w:rPr>
          <w:rFonts w:ascii="Times New Roman" w:eastAsia="Times New Roman" w:hAnsi="Times New Roman" w:cs="Times New Roman"/>
          <w:sz w:val="24"/>
          <w:szCs w:val="24"/>
        </w:rPr>
        <w:t xml:space="preserve"> olmak üzere Meclis’te geniş bir mutabakat temelinde kabul edildiğinin altını çizmek isterim. Anayasa değişikliğinin özü hakkında ön yargıda bulunmadan ve tartışmaya girmeden, Anayasa'nın kurucu gücün önemini vurgulayan 175. maddesi uyarınca kabul edilen meşru bir anayasa değişikliği olduğu ileri sürülebilir. Değişikliğin ilgili anayasa ve meclis </w:t>
      </w:r>
      <w:proofErr w:type="gramStart"/>
      <w:r w:rsidRPr="007D6614">
        <w:rPr>
          <w:rFonts w:ascii="Times New Roman" w:eastAsia="Times New Roman" w:hAnsi="Times New Roman" w:cs="Times New Roman"/>
          <w:sz w:val="24"/>
          <w:szCs w:val="24"/>
        </w:rPr>
        <w:t>prosedürlerine</w:t>
      </w:r>
      <w:proofErr w:type="gramEnd"/>
      <w:r w:rsidRPr="007D6614">
        <w:rPr>
          <w:rFonts w:ascii="Times New Roman" w:eastAsia="Times New Roman" w:hAnsi="Times New Roman" w:cs="Times New Roman"/>
          <w:sz w:val="24"/>
          <w:szCs w:val="24"/>
        </w:rPr>
        <w:t xml:space="preserve"> aykırı olarak yapıldığına dair herhangi bir adli bulgu olmadığı görülmektedir.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lastRenderedPageBreak/>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6</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Büyük Daire'nin anayasa değişikliğine ilişkin incelemesinin iki sütuna dayandığı görülmektedir. İlk olarak, çoğunluk, yerel mahkemelerin başvurucunun konuşmalarının Anayasa'nın 83. maddesinin birinci fıkrası kapsamında olup olmadığını, başka bir deyişle, yerel mahkemelerin başvurucunun ifadelerinin Anayasa'nın 83. maddesinin 1. fıkrasına girip girmediğini incelememesinin hatalı olup olmadığını incelemeyi gerekçe göstermeden reddettiğine karar vermiştir.</w:t>
      </w:r>
      <w:r w:rsidRPr="007D6614">
        <w:rPr>
          <w:rFonts w:ascii="Times New Roman" w:eastAsia="Times New Roman" w:hAnsi="Times New Roman" w:cs="Times New Roman"/>
          <w:sz w:val="24"/>
          <w:szCs w:val="24"/>
          <w:vertAlign w:val="superscript"/>
        </w:rPr>
        <w:footnoteReference w:id="1"/>
      </w:r>
      <w:r w:rsidRPr="007D6614">
        <w:rPr>
          <w:rFonts w:ascii="Times New Roman" w:eastAsia="Times New Roman" w:hAnsi="Times New Roman" w:cs="Times New Roman"/>
          <w:sz w:val="24"/>
          <w:szCs w:val="24"/>
        </w:rPr>
        <w:t xml:space="preserve"> İkinci olarak, çoğunluk, anayasa değişikliğinin başvurucuyu 83. maddenin 2. fıkrasının sağladığı korumadan mahrum bırakma etkisine sahip olduğu sonucuna varmıştır.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7</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Başvurucunun konuşmalarının içeriğiyle ayrılmaz bir şekilde bağlantılı olduğunu düşündüğüm ilk noktaya gelince, yerel yargı makamlarının, yani savcılar ve </w:t>
      </w:r>
      <w:r w:rsidR="00DA1D16">
        <w:rPr>
          <w:rFonts w:ascii="Times New Roman" w:eastAsia="Times New Roman" w:hAnsi="Times New Roman" w:cs="Times New Roman"/>
          <w:sz w:val="24"/>
          <w:szCs w:val="24"/>
        </w:rPr>
        <w:t>hâkim</w:t>
      </w:r>
      <w:r w:rsidRPr="007D6614">
        <w:rPr>
          <w:rFonts w:ascii="Times New Roman" w:eastAsia="Times New Roman" w:hAnsi="Times New Roman" w:cs="Times New Roman"/>
          <w:sz w:val="24"/>
          <w:szCs w:val="24"/>
        </w:rPr>
        <w:t>lerin, başvurucunun Anayasa'nın 83. maddesinin 1. fıkrası uyarınca yasama dokunulmazlığı korumasından yararlanamayacağını dolaylı olarak değerlendirdiklerinin altını çizmek zorundayım. Benim görüşüme göre, yerel mahkemelerin Türk hukukunu ve uygulamalarını göz ardı ettiğine karar vermek için bir dayanak oluşturabilecek hiçbir unsur yoktur.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8</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w:t>
      </w:r>
      <w:r w:rsidRPr="007D6614">
        <w:rPr>
          <w:rFonts w:ascii="Times New Roman" w:eastAsia="Times New Roman" w:hAnsi="Times New Roman" w:cs="Times New Roman"/>
          <w:color w:val="000000"/>
          <w:sz w:val="24"/>
          <w:szCs w:val="24"/>
        </w:rPr>
        <w:t xml:space="preserve">İkinci nokta ile ilgili olarak, yani 20 Mayıs 2016 tarihli anayasa değişikliğinin başvurucuyu kendisine sağlanan korumadan yoksun bırakma etkisinin olup olmadığına ilişkin, sorumsuzluk ve dokunulmazlığın tanımını ve genel kavramlarını daraltmadığını veya değiştirmediğini belirtmek isterim. Anayasa değişikliği sadece, kabul edildiği tarihe kadar Meclis’e hakkında fezleke sunulmuş olan milletvekillerinin dokunulmazlıklarının kaldırılmasına ilişkin </w:t>
      </w:r>
      <w:proofErr w:type="gramStart"/>
      <w:r w:rsidRPr="007D6614">
        <w:rPr>
          <w:rFonts w:ascii="Times New Roman" w:eastAsia="Times New Roman" w:hAnsi="Times New Roman" w:cs="Times New Roman"/>
          <w:color w:val="000000"/>
          <w:sz w:val="24"/>
          <w:szCs w:val="24"/>
        </w:rPr>
        <w:t>prosedürü</w:t>
      </w:r>
      <w:proofErr w:type="gramEnd"/>
      <w:r w:rsidRPr="007D6614">
        <w:rPr>
          <w:rFonts w:ascii="Times New Roman" w:eastAsia="Times New Roman" w:hAnsi="Times New Roman" w:cs="Times New Roman"/>
          <w:color w:val="000000"/>
          <w:sz w:val="24"/>
          <w:szCs w:val="24"/>
        </w:rPr>
        <w:t xml:space="preserve"> değiştirmiştir (kararın 137. paragrafına bakınız). Böylelikle, milletvekillerinin dokunulmazlıklarının kaldırılmasına ilişkin </w:t>
      </w:r>
      <w:proofErr w:type="spellStart"/>
      <w:r w:rsidRPr="007D6614">
        <w:rPr>
          <w:rFonts w:ascii="Times New Roman" w:eastAsia="Times New Roman" w:hAnsi="Times New Roman" w:cs="Times New Roman"/>
          <w:color w:val="000000"/>
          <w:sz w:val="24"/>
          <w:szCs w:val="24"/>
        </w:rPr>
        <w:t>usuli</w:t>
      </w:r>
      <w:proofErr w:type="spellEnd"/>
      <w:r w:rsidRPr="007D6614">
        <w:rPr>
          <w:rFonts w:ascii="Times New Roman" w:eastAsia="Times New Roman" w:hAnsi="Times New Roman" w:cs="Times New Roman"/>
          <w:color w:val="000000"/>
          <w:sz w:val="24"/>
          <w:szCs w:val="24"/>
        </w:rPr>
        <w:t xml:space="preserve"> güvencelerinin kapsamını etkin bir şekilde değiştirmiştir. Bu gerçek çoğunluk tarafından kabul edilse de, kararın 268. paragrafı, "değişikliğin ilgili </w:t>
      </w:r>
      <w:r w:rsidR="001302A1">
        <w:rPr>
          <w:rFonts w:ascii="Times New Roman" w:eastAsia="Times New Roman" w:hAnsi="Times New Roman" w:cs="Times New Roman"/>
          <w:color w:val="000000"/>
          <w:sz w:val="24"/>
          <w:szCs w:val="24"/>
        </w:rPr>
        <w:t>milletvekilleri</w:t>
      </w:r>
      <w:r w:rsidRPr="007D6614">
        <w:rPr>
          <w:rFonts w:ascii="Times New Roman" w:eastAsia="Times New Roman" w:hAnsi="Times New Roman" w:cs="Times New Roman"/>
          <w:color w:val="000000"/>
          <w:sz w:val="24"/>
          <w:szCs w:val="24"/>
        </w:rPr>
        <w:t xml:space="preserve"> için öngörülemeyen bir durum yarattığı" sonucuna varmak için buna dayanmaktadır. Anayasa değişikliğinin öngörülebilirliği perspektifinden başvurucunun belirli usule ilişkin güvencelerden yararlanamamasını ele alırken çoğunluğun yaklaşımını saygıyla paylaşmıyorum. Bu güvencelerin Sözleşmeye uygunluğu ile anayasa değişikliğinin öngörülebilirliği arasında bir ayrım yapılmalıdır.</w:t>
      </w: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9</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Çoğunluk, anayasa değişikliği olmasa bile başvurucunun hala Anayasa'nın 83. maddesi uyarınca yargılanıp yargılanamayacağı konusunda yeterince değerlendirme yapmamış görünmektedir. Aslında </w:t>
      </w:r>
      <w:r w:rsidRPr="007D6614">
        <w:rPr>
          <w:rFonts w:ascii="Times New Roman" w:eastAsia="Times New Roman" w:hAnsi="Times New Roman" w:cs="Times New Roman"/>
          <w:sz w:val="24"/>
          <w:szCs w:val="24"/>
        </w:rPr>
        <w:lastRenderedPageBreak/>
        <w:t>milletvekillerinin sorumsuzluk ve dokunulmazlığına ilişkin hükümler hala yürürlüktedir.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color w:val="000000"/>
          <w:sz w:val="24"/>
          <w:szCs w:val="24"/>
        </w:rPr>
        <w:fldChar w:fldCharType="begin"/>
      </w:r>
      <w:r w:rsidRPr="007D6614">
        <w:rPr>
          <w:rFonts w:ascii="Times New Roman" w:eastAsia="Times New Roman" w:hAnsi="Times New Roman" w:cs="Times New Roman"/>
          <w:color w:val="000000"/>
          <w:sz w:val="24"/>
          <w:szCs w:val="24"/>
        </w:rPr>
        <w:instrText xml:space="preserve"> SEQ level0 \*arabic </w:instrText>
      </w:r>
      <w:r w:rsidRPr="007D6614">
        <w:rPr>
          <w:rFonts w:ascii="Times New Roman" w:eastAsia="Times New Roman" w:hAnsi="Times New Roman" w:cs="Times New Roman"/>
          <w:color w:val="000000"/>
          <w:sz w:val="24"/>
          <w:szCs w:val="24"/>
        </w:rPr>
        <w:fldChar w:fldCharType="separate"/>
      </w:r>
      <w:r w:rsidR="001302A1">
        <w:rPr>
          <w:rFonts w:ascii="Times New Roman" w:eastAsia="Times New Roman" w:hAnsi="Times New Roman" w:cs="Times New Roman"/>
          <w:noProof/>
          <w:color w:val="000000"/>
          <w:sz w:val="24"/>
          <w:szCs w:val="24"/>
        </w:rPr>
        <w:t>10</w:t>
      </w:r>
      <w:r w:rsidRPr="007D6614">
        <w:rPr>
          <w:rFonts w:ascii="Times New Roman" w:eastAsia="Times New Roman" w:hAnsi="Times New Roman" w:cs="Times New Roman"/>
          <w:color w:val="000000"/>
          <w:sz w:val="24"/>
          <w:szCs w:val="24"/>
        </w:rPr>
        <w:fldChar w:fldCharType="end"/>
      </w:r>
      <w:r w:rsidRPr="007D6614">
        <w:rPr>
          <w:rFonts w:ascii="Times New Roman" w:eastAsia="Times New Roman" w:hAnsi="Times New Roman" w:cs="Times New Roman"/>
          <w:color w:val="000000"/>
          <w:sz w:val="24"/>
          <w:szCs w:val="24"/>
        </w:rPr>
        <w:t>.  </w:t>
      </w:r>
      <w:r w:rsidRPr="007D6614">
        <w:rPr>
          <w:rFonts w:ascii="Times New Roman" w:eastAsia="Times New Roman" w:hAnsi="Times New Roman" w:cs="Times New Roman"/>
          <w:sz w:val="24"/>
          <w:szCs w:val="24"/>
        </w:rPr>
        <w:t xml:space="preserve">Bir anayasa değişikliğinin öngörülebilirliğinin sıradan hukukla aynı şekilde düşünülebileceğine dair derin tereddütlerim olsa da, anladığım kadarıyla yukarıda belirtilen içtihat </w:t>
      </w:r>
      <w:proofErr w:type="gramStart"/>
      <w:r w:rsidRPr="007D6614">
        <w:rPr>
          <w:rFonts w:ascii="Times New Roman" w:eastAsia="Times New Roman" w:hAnsi="Times New Roman" w:cs="Times New Roman"/>
          <w:sz w:val="24"/>
          <w:szCs w:val="24"/>
        </w:rPr>
        <w:t>kriterlerini</w:t>
      </w:r>
      <w:proofErr w:type="gramEnd"/>
      <w:r w:rsidRPr="007D6614">
        <w:rPr>
          <w:rFonts w:ascii="Times New Roman" w:eastAsia="Times New Roman" w:hAnsi="Times New Roman" w:cs="Times New Roman"/>
          <w:sz w:val="24"/>
          <w:szCs w:val="24"/>
        </w:rPr>
        <w:t xml:space="preserve"> gereğince dikkate almadan anayasa değişikliklerinin öngörülebilirliğinden bahsetmek </w:t>
      </w:r>
      <w:r w:rsidR="00DA1D16">
        <w:rPr>
          <w:rFonts w:ascii="Times New Roman" w:eastAsia="Times New Roman" w:hAnsi="Times New Roman" w:cs="Times New Roman"/>
          <w:sz w:val="24"/>
          <w:szCs w:val="24"/>
        </w:rPr>
        <w:t>imkân</w:t>
      </w:r>
      <w:r w:rsidRPr="007D6614">
        <w:rPr>
          <w:rFonts w:ascii="Times New Roman" w:eastAsia="Times New Roman" w:hAnsi="Times New Roman" w:cs="Times New Roman"/>
          <w:sz w:val="24"/>
          <w:szCs w:val="24"/>
        </w:rPr>
        <w:t xml:space="preserve">sız değilse de zordur. Bu bağlamda, yerel mahkemelerin başvurucunun konuşmalarının Anayasa'nın 83. maddesinin 1. fıkrası uyarınca korunup korunmadığını incelemekte başarısız olması ile anayasa değişikliğinin öngörülebilirliği arasında </w:t>
      </w:r>
      <w:proofErr w:type="spellStart"/>
      <w:r w:rsidRPr="007D6614">
        <w:rPr>
          <w:rFonts w:ascii="Times New Roman" w:eastAsia="Times New Roman" w:hAnsi="Times New Roman" w:cs="Times New Roman"/>
          <w:sz w:val="24"/>
          <w:szCs w:val="24"/>
        </w:rPr>
        <w:t>nedensel</w:t>
      </w:r>
      <w:proofErr w:type="spellEnd"/>
      <w:r w:rsidRPr="007D6614">
        <w:rPr>
          <w:rFonts w:ascii="Times New Roman" w:eastAsia="Times New Roman" w:hAnsi="Times New Roman" w:cs="Times New Roman"/>
          <w:sz w:val="24"/>
          <w:szCs w:val="24"/>
        </w:rPr>
        <w:t xml:space="preserve"> bir bağlantı olduğunu ayırt etmek de aynı derecede zordur. Anayasa değişikliğinden sonra meydana gelen bir gelişmenin - yani yerel mahkemelerin başvurucunun iddialarını Anayasa'nın 83. maddesinin 1.fıkrası uyarınca incelemediği iddiası- bunun öngörülebilirliği üzerinde etkili olabileceği konusunda hemfikir değilim.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11</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Bu şartlar altında, çoğunluğun anayasa değişikliklerinin öngörülebilirliği ile ilgili incelemelerinde Mahkeme’nin eşiğini düşüren görüşünü saygı duyarak kabul edemiyorum.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t xml:space="preserve">(ii)  Başvurucunun davasında terörle ilgili suçları düzenleyen hükümlerin yorumlanması ve uygulanmasının “kanun niteliği” şartını karşılayıp karşılamadığı sorusuna ilişkin olarak, dava dosyasından, başvurucunun Büyük Daire huzurunda 10. maddeye ilişkin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ini açıkça ileri sürmediği anlaşılmaktadır. Bu nedenle, bu sorunun ayrı olarak incelenmesinin başvurucunun beyanlarına göre haklı olduğunu düşünmüyorum.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12</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Çoğunluğun, kararın 275. paragrafında “terörü önleme ve terörle mücadele kanunlarını formüle etme ile bağlantılı zorlukların farkında olduklarını ve Üye </w:t>
      </w:r>
      <w:proofErr w:type="spellStart"/>
      <w:r w:rsidRPr="007D6614">
        <w:rPr>
          <w:rFonts w:ascii="Times New Roman" w:eastAsia="Times New Roman" w:hAnsi="Times New Roman" w:cs="Times New Roman"/>
          <w:sz w:val="24"/>
          <w:szCs w:val="24"/>
        </w:rPr>
        <w:t>Devletler’in</w:t>
      </w:r>
      <w:proofErr w:type="spellEnd"/>
      <w:r w:rsidRPr="007D6614">
        <w:rPr>
          <w:rFonts w:ascii="Times New Roman" w:eastAsia="Times New Roman" w:hAnsi="Times New Roman" w:cs="Times New Roman"/>
          <w:sz w:val="24"/>
          <w:szCs w:val="24"/>
        </w:rPr>
        <w:t xml:space="preserve">, kaçınılmaz olarak, uygulaması yargı makamları tarafından pratik yorumuna bağlı olan bir şekilde genel ifadelere başvurabileceğini” vurgulaması doğrudur. </w:t>
      </w:r>
      <w:r w:rsidRPr="007D6614">
        <w:rPr>
          <w:rFonts w:ascii="Times New Roman" w:eastAsia="Times New Roman" w:hAnsi="Times New Roman" w:cs="Times New Roman"/>
          <w:sz w:val="24"/>
          <w:szCs w:val="24"/>
          <w:lang w:eastAsia="tr-TR"/>
        </w:rPr>
        <w:t>Ancak çoğunluğun mevcut başvurudaki sonucunun terörizmle bağlantılı zorlukların farkında olarak verildiğinin kabul edilip edilmeyeceğinden emin değilim.</w:t>
      </w:r>
      <w:r w:rsidRPr="007D6614">
        <w:rPr>
          <w:rFonts w:ascii="Times New Roman" w:eastAsia="Times New Roman" w:hAnsi="Times New Roman" w:cs="Times New Roman"/>
          <w:sz w:val="24"/>
          <w:szCs w:val="24"/>
        </w:rPr>
        <w:t xml:space="preserve"> Terörle ilgili suçların yorumlanmasının ve uygulanmasının kanunla öngörülmemiş olduğu bulgusu, aynı derecede ciddi ve ikna edici nedenlerle ve başvurucunun açık bir iddiasıyla desteklenmesi gereken son derece ciddi bir tespittir ve bence mevcut başvurudaki başvurucunun iddiası böyle değildir.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13</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Çoğunluğun “başvurucunun davasında terörle ilgili suçları düzenleyen hükümlerin yorumlanması ve uygulanmasının” söz konusu hukukun niteliği açısından bir sorun oluşturduğu sonucuna saygıyla katılmıyorum. Yukarıda belirtildiği üzere Mahkeme’miz tarafından </w:t>
      </w:r>
      <w:r w:rsidRPr="007D6614">
        <w:rPr>
          <w:rFonts w:ascii="Times New Roman" w:eastAsia="Times New Roman" w:hAnsi="Times New Roman" w:cs="Times New Roman"/>
          <w:sz w:val="24"/>
          <w:szCs w:val="24"/>
        </w:rPr>
        <w:lastRenderedPageBreak/>
        <w:t>yürütülen meşruiyet incelemesinin kapsamının tespit edilmesi gerektiğine inanıyorum. Bu da beni 10. madde kapsamındaki incelememin son bölümüne getiriyor.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r w:rsidRPr="007D6614">
        <w:rPr>
          <w:rFonts w:ascii="Times New Roman" w:eastAsia="Times New Roman" w:hAnsi="Times New Roman" w:cs="Times New Roman"/>
          <w:sz w:val="24"/>
          <w:szCs w:val="24"/>
        </w:rPr>
        <w:t>(i</w:t>
      </w:r>
      <w:r w:rsidRPr="007D6614">
        <w:rPr>
          <w:rFonts w:ascii="Times New Roman" w:eastAsia="Times New Roman" w:hAnsi="Times New Roman" w:cs="Times New Roman"/>
          <w:color w:val="000000"/>
          <w:sz w:val="24"/>
          <w:szCs w:val="24"/>
        </w:rPr>
        <w:t xml:space="preserve">ii)  Yukarıda açıkladığım gibi, mevcut davaya müdahalenin demokratik bir toplumda gerekli olup olmadığı sorusunu incelemeyi tercih ederim. Bu bağlamda, müdahalenin izlediği meşru amaçların, 10. madde uyarınca, terörle mücadele ve ulusal güvenlik ve kamu güvenliğinin korunması olduğunu kabul etmeye hazırım. Gerekliliğe gelince, Sözleşme'nin 10. maddesinin 2. fıkrası kapsamında siyasi konuşmaya veya kamu menfaatine ilişkin tartışmalara ilişkin kısıtlamalara ilişkin çok az alan olduğu doğrudur. Aslında, bir muhalif milletvekilinin ifade özgürlüğüne müdahale, Mahkeme’nin en yakın incelemesini gerektirir (bakınız </w:t>
      </w:r>
      <w:proofErr w:type="spellStart"/>
      <w:r w:rsidRPr="007D6614">
        <w:rPr>
          <w:rFonts w:ascii="Times New Roman" w:eastAsia="Times New Roman" w:hAnsi="Times New Roman" w:cs="Times New Roman"/>
          <w:i/>
          <w:iCs/>
          <w:color w:val="000000"/>
          <w:sz w:val="24"/>
          <w:szCs w:val="24"/>
        </w:rPr>
        <w:t>Castells</w:t>
      </w:r>
      <w:proofErr w:type="spellEnd"/>
      <w:r w:rsidRPr="007D6614">
        <w:rPr>
          <w:rFonts w:ascii="Times New Roman" w:eastAsia="Times New Roman" w:hAnsi="Times New Roman" w:cs="Times New Roman"/>
          <w:i/>
          <w:iCs/>
          <w:color w:val="000000"/>
          <w:sz w:val="24"/>
          <w:szCs w:val="24"/>
        </w:rPr>
        <w:t xml:space="preserve"> v. İspanya</w:t>
      </w:r>
      <w:r w:rsidRPr="007D6614">
        <w:rPr>
          <w:rFonts w:ascii="Times New Roman" w:eastAsia="Times New Roman" w:hAnsi="Times New Roman" w:cs="Times New Roman"/>
          <w:color w:val="000000"/>
          <w:sz w:val="24"/>
          <w:szCs w:val="24"/>
        </w:rPr>
        <w:t xml:space="preserve">, 23 Nisan 1992, § 42, Series A </w:t>
      </w:r>
      <w:proofErr w:type="spellStart"/>
      <w:r w:rsidRPr="007D6614">
        <w:rPr>
          <w:rFonts w:ascii="Times New Roman" w:eastAsia="Times New Roman" w:hAnsi="Times New Roman" w:cs="Times New Roman"/>
          <w:color w:val="000000"/>
          <w:sz w:val="24"/>
          <w:szCs w:val="24"/>
        </w:rPr>
        <w:t>no</w:t>
      </w:r>
      <w:proofErr w:type="spellEnd"/>
      <w:r w:rsidRPr="007D6614">
        <w:rPr>
          <w:rFonts w:ascii="Times New Roman" w:eastAsia="Times New Roman" w:hAnsi="Times New Roman" w:cs="Times New Roman"/>
          <w:color w:val="000000"/>
          <w:sz w:val="24"/>
          <w:szCs w:val="24"/>
        </w:rPr>
        <w:t xml:space="preserve">. 236). </w:t>
      </w:r>
      <w:proofErr w:type="gramStart"/>
      <w:r w:rsidRPr="007D6614">
        <w:rPr>
          <w:rFonts w:ascii="Times New Roman" w:eastAsia="Times New Roman" w:hAnsi="Times New Roman" w:cs="Times New Roman"/>
          <w:color w:val="000000"/>
          <w:sz w:val="24"/>
          <w:szCs w:val="24"/>
        </w:rPr>
        <w:t xml:space="preserve">Bununla birlikte, başvurucunun itiraz edilen konuşmalarının şiddeti yüceltici ve övücü olarak görülemeyeceğinden ve tamamen barışçıl olarak görülebileceğinden ve özellikle de Türk güvenlik güçleri ile PKK arasındaki silahlı çatışmalar sonucu o sırada bölgede hüküm süren gergin duruma bakıldığında kamu yararına bir tartışmaya katkıda bulunduğundan şüphe besliyorum (bakınız </w:t>
      </w:r>
      <w:r w:rsidRPr="007D6614">
        <w:rPr>
          <w:rFonts w:ascii="Times New Roman" w:eastAsia="Times New Roman" w:hAnsi="Times New Roman" w:cs="Times New Roman"/>
          <w:i/>
          <w:iCs/>
          <w:color w:val="000000"/>
          <w:sz w:val="24"/>
          <w:szCs w:val="24"/>
        </w:rPr>
        <w:t>Sürek - Türkiye (</w:t>
      </w:r>
      <w:proofErr w:type="spellStart"/>
      <w:r w:rsidRPr="007D6614">
        <w:rPr>
          <w:rFonts w:ascii="Times New Roman" w:eastAsia="Times New Roman" w:hAnsi="Times New Roman" w:cs="Times New Roman"/>
          <w:i/>
          <w:iCs/>
          <w:color w:val="000000"/>
          <w:sz w:val="24"/>
          <w:szCs w:val="24"/>
        </w:rPr>
        <w:t>no</w:t>
      </w:r>
      <w:proofErr w:type="spellEnd"/>
      <w:r w:rsidRPr="007D6614">
        <w:rPr>
          <w:rFonts w:ascii="Times New Roman" w:eastAsia="Times New Roman" w:hAnsi="Times New Roman" w:cs="Times New Roman"/>
          <w:i/>
          <w:iCs/>
          <w:color w:val="000000"/>
          <w:sz w:val="24"/>
          <w:szCs w:val="24"/>
        </w:rPr>
        <w:t xml:space="preserve">. 1) </w:t>
      </w:r>
      <w:r w:rsidRPr="007D6614">
        <w:rPr>
          <w:rFonts w:ascii="Times New Roman" w:eastAsia="Times New Roman" w:hAnsi="Times New Roman" w:cs="Times New Roman"/>
          <w:color w:val="000000"/>
          <w:sz w:val="24"/>
          <w:szCs w:val="24"/>
        </w:rPr>
        <w:t xml:space="preserve">[BD], </w:t>
      </w:r>
      <w:proofErr w:type="spellStart"/>
      <w:r w:rsidRPr="007D6614">
        <w:rPr>
          <w:rFonts w:ascii="Times New Roman" w:eastAsia="Times New Roman" w:hAnsi="Times New Roman" w:cs="Times New Roman"/>
          <w:color w:val="000000"/>
          <w:sz w:val="24"/>
          <w:szCs w:val="24"/>
        </w:rPr>
        <w:t>no</w:t>
      </w:r>
      <w:proofErr w:type="spellEnd"/>
      <w:r w:rsidRPr="007D6614">
        <w:rPr>
          <w:rFonts w:ascii="Times New Roman" w:eastAsia="Times New Roman" w:hAnsi="Times New Roman" w:cs="Times New Roman"/>
          <w:color w:val="000000"/>
          <w:sz w:val="24"/>
          <w:szCs w:val="24"/>
        </w:rPr>
        <w:t xml:space="preserve">. 26682/95, § 62, ECHR 1999 IV). </w:t>
      </w:r>
      <w:proofErr w:type="gramEnd"/>
      <w:r w:rsidRPr="007D6614">
        <w:rPr>
          <w:rFonts w:ascii="Times New Roman" w:eastAsia="Times New Roman" w:hAnsi="Times New Roman" w:cs="Times New Roman"/>
          <w:color w:val="000000"/>
          <w:sz w:val="24"/>
          <w:szCs w:val="24"/>
        </w:rPr>
        <w:t>Bu noktada, başvurucu aleyhindeki ceza yargılamalarının halen yerel mahkemelerde derdest olduğu ve masumiyet karinesi ilkesine uygun olarak sonuçlarına hiçbir şekilde zarar vermemek için dikkatli olacağım.</w:t>
      </w: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r w:rsidRPr="007D6614">
        <w:rPr>
          <w:rFonts w:ascii="Times New Roman" w:eastAsia="Times New Roman" w:hAnsi="Times New Roman" w:cs="Times New Roman"/>
          <w:color w:val="000000"/>
          <w:sz w:val="24"/>
          <w:szCs w:val="24"/>
        </w:rPr>
        <w:fldChar w:fldCharType="begin"/>
      </w:r>
      <w:r w:rsidRPr="007D6614">
        <w:rPr>
          <w:rFonts w:ascii="Times New Roman" w:eastAsia="Times New Roman" w:hAnsi="Times New Roman" w:cs="Times New Roman"/>
          <w:color w:val="000000"/>
          <w:sz w:val="24"/>
          <w:szCs w:val="24"/>
        </w:rPr>
        <w:instrText xml:space="preserve"> SEQ level0 \*arabic </w:instrText>
      </w:r>
      <w:r w:rsidRPr="007D6614">
        <w:rPr>
          <w:rFonts w:ascii="Times New Roman" w:eastAsia="Times New Roman" w:hAnsi="Times New Roman" w:cs="Times New Roman"/>
          <w:color w:val="000000"/>
          <w:sz w:val="24"/>
          <w:szCs w:val="24"/>
        </w:rPr>
        <w:fldChar w:fldCharType="separate"/>
      </w:r>
      <w:r w:rsidR="001302A1">
        <w:rPr>
          <w:rFonts w:ascii="Times New Roman" w:eastAsia="Times New Roman" w:hAnsi="Times New Roman" w:cs="Times New Roman"/>
          <w:noProof/>
          <w:color w:val="000000"/>
          <w:sz w:val="24"/>
          <w:szCs w:val="24"/>
        </w:rPr>
        <w:t>14</w:t>
      </w:r>
      <w:r w:rsidRPr="007D6614">
        <w:rPr>
          <w:rFonts w:ascii="Times New Roman" w:eastAsia="Times New Roman" w:hAnsi="Times New Roman" w:cs="Times New Roman"/>
          <w:color w:val="000000"/>
          <w:sz w:val="24"/>
          <w:szCs w:val="24"/>
        </w:rPr>
        <w:fldChar w:fldCharType="end"/>
      </w:r>
      <w:r w:rsidRPr="007D6614">
        <w:rPr>
          <w:rFonts w:ascii="Times New Roman" w:eastAsia="Times New Roman" w:hAnsi="Times New Roman" w:cs="Times New Roman"/>
          <w:color w:val="000000"/>
          <w:sz w:val="24"/>
          <w:szCs w:val="24"/>
        </w:rPr>
        <w:t>.  Yukarıdakiler ışığında başvurucunun haklarına müdahalenin hem öngörülebilir hem de "kanun niteliği" gerekliliğine uygun olarak yasayla öngörüldüğü ve acil bir sosyal ihtiyaca karşılık gelen ve izlenen meşru amaç ile orantılı olarak demokratik bir toplumda gerekli olduğu sonucuna varmaktayım.</w:t>
      </w: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keepNext/>
        <w:keepLines/>
        <w:numPr>
          <w:ilvl w:val="1"/>
          <w:numId w:val="50"/>
        </w:numPr>
        <w:tabs>
          <w:tab w:val="left" w:pos="454"/>
          <w:tab w:val="left" w:pos="567"/>
          <w:tab w:val="left" w:pos="680"/>
        </w:tabs>
        <w:spacing w:before="100" w:beforeAutospacing="1" w:after="240" w:line="240" w:lineRule="auto"/>
        <w:jc w:val="both"/>
        <w:outlineLvl w:val="1"/>
        <w:rPr>
          <w:rFonts w:ascii="Times New Roman" w:eastAsia="MS Gothic" w:hAnsi="Times New Roman" w:cs="Microsoft Himalaya"/>
          <w:bCs/>
          <w:caps/>
          <w:sz w:val="24"/>
          <w:szCs w:val="26"/>
        </w:rPr>
      </w:pPr>
      <w:bookmarkStart w:id="43" w:name="lt_pId588"/>
      <w:r w:rsidRPr="007D6614">
        <w:rPr>
          <w:rFonts w:ascii="Times New Roman" w:eastAsia="MS Gothic" w:hAnsi="Times New Roman" w:cs="Microsoft Himalaya"/>
          <w:bCs/>
          <w:caps/>
          <w:sz w:val="24"/>
          <w:szCs w:val="26"/>
        </w:rPr>
        <w:lastRenderedPageBreak/>
        <w:t xml:space="preserve">SÖZLEŞME'NİN 5. MADDESİNin 1. fıkrasına Yönelik </w:t>
      </w:r>
      <w:proofErr w:type="gramStart"/>
      <w:r w:rsidRPr="007D6614">
        <w:rPr>
          <w:rFonts w:ascii="Times New Roman" w:eastAsia="MS Gothic" w:hAnsi="Times New Roman" w:cs="Microsoft Himalaya"/>
          <w:bCs/>
          <w:caps/>
          <w:sz w:val="24"/>
          <w:szCs w:val="26"/>
        </w:rPr>
        <w:t>ŞİKAYETE</w:t>
      </w:r>
      <w:proofErr w:type="gramEnd"/>
      <w:r w:rsidRPr="007D6614">
        <w:rPr>
          <w:rFonts w:ascii="Times New Roman" w:eastAsia="MS Gothic" w:hAnsi="Times New Roman" w:cs="Microsoft Himalaya"/>
          <w:bCs/>
          <w:caps/>
          <w:sz w:val="24"/>
          <w:szCs w:val="26"/>
        </w:rPr>
        <w:t xml:space="preserve"> İLİŞKİN</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15</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w:t>
      </w:r>
      <w:bookmarkStart w:id="44" w:name="lt_pId598"/>
      <w:bookmarkEnd w:id="43"/>
      <w:r w:rsidRPr="007D6614">
        <w:rPr>
          <w:rFonts w:ascii="Times New Roman" w:eastAsia="Times New Roman" w:hAnsi="Times New Roman" w:cs="Times New Roman"/>
          <w:sz w:val="24"/>
          <w:szCs w:val="24"/>
        </w:rPr>
        <w:t xml:space="preserve">Başvurucu, hem yakalanmasından hemen sonraki ilk dönemde hem de tutukluluğunun yargı makamları tarafından hükmedildiği ve uzatıldığı sonraki dönemlerde kendisine karşı makul şüphenin bulunmadığından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çi olmuştur. Bu noktada, Sözleşme'nin 5. maddesinin 1. fıkrasının c bendi uyarınca makul şüphenin bulunmadığı iddiasına ilişkin çoğunluğun vardığı sonuca saygıyla katılmıyorum. Büyük Daire'nin, Daire'nin Mahkeme'nin yerleşik içtihadına dayanan bu konudaki kararından ayrılmasını gerektirecek bir neden görmüyorum. (bakınız, diğer birçok kararın yanı sıra, </w:t>
      </w:r>
      <w:proofErr w:type="spellStart"/>
      <w:r w:rsidRPr="007D6614">
        <w:rPr>
          <w:rFonts w:ascii="Times New Roman" w:eastAsia="Times New Roman" w:hAnsi="Times New Roman" w:cs="Times New Roman"/>
          <w:i/>
          <w:iCs/>
          <w:sz w:val="24"/>
          <w:szCs w:val="24"/>
        </w:rPr>
        <w:t>Fox</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Campbell</w:t>
      </w:r>
      <w:proofErr w:type="spellEnd"/>
      <w:r w:rsidRPr="007D6614">
        <w:rPr>
          <w:rFonts w:ascii="Times New Roman" w:eastAsia="Times New Roman" w:hAnsi="Times New Roman" w:cs="Times New Roman"/>
          <w:i/>
          <w:iCs/>
          <w:sz w:val="24"/>
          <w:szCs w:val="24"/>
        </w:rPr>
        <w:t xml:space="preserve"> ve </w:t>
      </w:r>
      <w:proofErr w:type="spellStart"/>
      <w:r w:rsidRPr="007D6614">
        <w:rPr>
          <w:rFonts w:ascii="Times New Roman" w:eastAsia="Times New Roman" w:hAnsi="Times New Roman" w:cs="Times New Roman"/>
          <w:i/>
          <w:iCs/>
          <w:sz w:val="24"/>
          <w:szCs w:val="24"/>
        </w:rPr>
        <w:t>Hartley</w:t>
      </w:r>
      <w:proofErr w:type="spellEnd"/>
      <w:r w:rsidRPr="007D6614">
        <w:rPr>
          <w:rFonts w:ascii="Times New Roman" w:eastAsia="Times New Roman" w:hAnsi="Times New Roman" w:cs="Times New Roman"/>
          <w:i/>
          <w:iCs/>
          <w:sz w:val="24"/>
          <w:szCs w:val="24"/>
        </w:rPr>
        <w:t xml:space="preserve"> v. Birleşik Krallık</w:t>
      </w:r>
      <w:r w:rsidRPr="007D6614">
        <w:rPr>
          <w:rFonts w:ascii="Times New Roman" w:eastAsia="Times New Roman" w:hAnsi="Times New Roman" w:cs="Times New Roman"/>
          <w:sz w:val="24"/>
          <w:szCs w:val="24"/>
        </w:rPr>
        <w:t xml:space="preserve">, 30 Ağustos 1990, Series A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182; </w:t>
      </w:r>
      <w:proofErr w:type="spellStart"/>
      <w:r w:rsidRPr="007D6614">
        <w:rPr>
          <w:rFonts w:ascii="Times New Roman" w:eastAsia="Times New Roman" w:hAnsi="Times New Roman" w:cs="Times New Roman"/>
          <w:i/>
          <w:iCs/>
          <w:sz w:val="24"/>
          <w:szCs w:val="24"/>
        </w:rPr>
        <w:t>O'Hara</w:t>
      </w:r>
      <w:proofErr w:type="spellEnd"/>
      <w:r w:rsidRPr="007D6614">
        <w:rPr>
          <w:rFonts w:ascii="Times New Roman" w:eastAsia="Times New Roman" w:hAnsi="Times New Roman" w:cs="Times New Roman"/>
          <w:i/>
          <w:iCs/>
          <w:sz w:val="24"/>
          <w:szCs w:val="24"/>
        </w:rPr>
        <w:t xml:space="preserve"> v. Birleşik Krallık</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37555/97, ECHR 2001-</w:t>
      </w:r>
      <w:proofErr w:type="gramStart"/>
      <w:r w:rsidRPr="007D6614">
        <w:rPr>
          <w:rFonts w:ascii="Times New Roman" w:eastAsia="Times New Roman" w:hAnsi="Times New Roman" w:cs="Times New Roman"/>
          <w:sz w:val="24"/>
          <w:szCs w:val="24"/>
        </w:rPr>
        <w:t>X;</w:t>
      </w:r>
      <w:proofErr w:type="gramEnd"/>
      <w:r w:rsidRPr="007D6614">
        <w:rPr>
          <w:rFonts w:ascii="Times New Roman" w:eastAsia="Times New Roman" w:hAnsi="Times New Roman" w:cs="Times New Roman"/>
          <w:sz w:val="24"/>
          <w:szCs w:val="24"/>
        </w:rPr>
        <w:t xml:space="preserve"> ve </w:t>
      </w:r>
      <w:r w:rsidRPr="007D6614">
        <w:rPr>
          <w:rFonts w:ascii="Times New Roman" w:eastAsia="Times New Roman" w:hAnsi="Times New Roman" w:cs="Times New Roman"/>
          <w:i/>
          <w:iCs/>
          <w:sz w:val="24"/>
          <w:szCs w:val="24"/>
        </w:rPr>
        <w:t>Çiçek v. Türkiye (kek.)</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72774/10, § 62, 3 Mart 2015). Mahkeme’nin içtihadına göre, Sözleşme'nin 5. maddesinin 1. fıkrasının c bendinin soruşturma makamlarının tutuklama sırasında suç duyurusunda bulunmak için yeterli delil elde ettiklerini öngörmediğine özellikle atıfta bulunuyorum. Bu nedenle, şüphe uyandıran olayların, bir </w:t>
      </w:r>
      <w:proofErr w:type="gramStart"/>
      <w:r w:rsidRPr="007D6614">
        <w:rPr>
          <w:rFonts w:ascii="Times New Roman" w:eastAsia="Times New Roman" w:hAnsi="Times New Roman" w:cs="Times New Roman"/>
          <w:sz w:val="24"/>
          <w:szCs w:val="24"/>
        </w:rPr>
        <w:t>mahkumiyeti</w:t>
      </w:r>
      <w:proofErr w:type="gramEnd"/>
      <w:r w:rsidRPr="007D6614">
        <w:rPr>
          <w:rFonts w:ascii="Times New Roman" w:eastAsia="Times New Roman" w:hAnsi="Times New Roman" w:cs="Times New Roman"/>
          <w:sz w:val="24"/>
          <w:szCs w:val="24"/>
        </w:rPr>
        <w:t xml:space="preserve"> haklı çıkarmak için gerekli olanlarla veya ceza soruşturması sürecinin bir sonraki aşamasında gelen bir suçlama getirilmesi ile bile aynı düzeyde olması gerekmez. (bakınız </w:t>
      </w:r>
      <w:proofErr w:type="spellStart"/>
      <w:r w:rsidRPr="007D6614">
        <w:rPr>
          <w:rFonts w:ascii="Times New Roman" w:eastAsia="Times New Roman" w:hAnsi="Times New Roman" w:cs="Times New Roman"/>
          <w:sz w:val="24"/>
          <w:szCs w:val="24"/>
        </w:rPr>
        <w:t>Murray</w:t>
      </w:r>
      <w:proofErr w:type="spellEnd"/>
      <w:r w:rsidRPr="007D6614">
        <w:rPr>
          <w:rFonts w:ascii="Times New Roman" w:eastAsia="Times New Roman" w:hAnsi="Times New Roman" w:cs="Times New Roman"/>
          <w:sz w:val="24"/>
          <w:szCs w:val="24"/>
        </w:rPr>
        <w:t xml:space="preserve"> v. Birleşik Krallık, 28 Ekim 1994, § 55, Series A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300-A ve Yüksel ve diğerleri v. Türkiye,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55835/09 ve diğerleri, § 52, 31 Mayıs 2016). Bu bağlamda Mahkeme, Anayasa Mahkemesi ve Daire'nin yaptığı gibi, ceza davası dosyasındaki ilk tutukluluğun gerekçesini oluşturan somut şüpheyi doğrulayabilecek veya ortadan kaldırabilecek ilgili tüm delilleri incelemelidir ve kendisini sadece ilk etapta sunulan kanıtlarla sınırlandırmaz (bakınız kıyasen, yukarıda anılan </w:t>
      </w:r>
      <w:r w:rsidRPr="007D6614">
        <w:rPr>
          <w:rFonts w:ascii="Times New Roman" w:eastAsia="Times New Roman" w:hAnsi="Times New Roman" w:cs="Times New Roman"/>
          <w:i/>
          <w:iCs/>
          <w:sz w:val="24"/>
          <w:szCs w:val="24"/>
        </w:rPr>
        <w:t>Yüksel ve diğerleri</w:t>
      </w:r>
      <w:r w:rsidRPr="007D6614">
        <w:rPr>
          <w:rFonts w:ascii="Times New Roman" w:eastAsia="Times New Roman" w:hAnsi="Times New Roman" w:cs="Times New Roman"/>
          <w:sz w:val="24"/>
          <w:szCs w:val="24"/>
        </w:rPr>
        <w:t xml:space="preserve">, §§ 51-59, </w:t>
      </w:r>
      <w:r w:rsidRPr="007D6614">
        <w:rPr>
          <w:rFonts w:ascii="Times New Roman" w:eastAsia="Times New Roman" w:hAnsi="Times New Roman" w:cs="Times New Roman"/>
          <w:i/>
          <w:iCs/>
          <w:sz w:val="24"/>
          <w:szCs w:val="24"/>
        </w:rPr>
        <w:t>Tekin v. Türkiye</w:t>
      </w:r>
      <w:r w:rsidRPr="007D6614">
        <w:rPr>
          <w:rFonts w:ascii="Times New Roman" w:eastAsia="Times New Roman" w:hAnsi="Times New Roman" w:cs="Times New Roman"/>
          <w:sz w:val="24"/>
          <w:szCs w:val="24"/>
        </w:rPr>
        <w:t xml:space="preserve"> (kek.),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3501/09, §§ 55 62, 18 Kasım </w:t>
      </w:r>
      <w:proofErr w:type="gramStart"/>
      <w:r w:rsidRPr="007D6614">
        <w:rPr>
          <w:rFonts w:ascii="Times New Roman" w:eastAsia="Times New Roman" w:hAnsi="Times New Roman" w:cs="Times New Roman"/>
          <w:sz w:val="24"/>
          <w:szCs w:val="24"/>
        </w:rPr>
        <w:t>2014;</w:t>
      </w:r>
      <w:proofErr w:type="gramEnd"/>
      <w:r w:rsidRPr="007D6614">
        <w:rPr>
          <w:rFonts w:ascii="Times New Roman" w:eastAsia="Times New Roman" w:hAnsi="Times New Roman" w:cs="Times New Roman"/>
          <w:sz w:val="24"/>
          <w:szCs w:val="24"/>
        </w:rPr>
        <w:t xml:space="preserve"> ve </w:t>
      </w:r>
      <w:r w:rsidRPr="007D6614">
        <w:rPr>
          <w:rFonts w:ascii="Times New Roman" w:eastAsia="Times New Roman" w:hAnsi="Times New Roman" w:cs="Times New Roman"/>
          <w:i/>
          <w:iCs/>
          <w:sz w:val="24"/>
          <w:szCs w:val="24"/>
        </w:rPr>
        <w:t>Metin v. Türkiye</w:t>
      </w:r>
      <w:r w:rsidRPr="007D6614">
        <w:rPr>
          <w:rFonts w:ascii="Times New Roman" w:eastAsia="Times New Roman" w:hAnsi="Times New Roman" w:cs="Times New Roman"/>
          <w:sz w:val="24"/>
          <w:szCs w:val="24"/>
        </w:rPr>
        <w:t xml:space="preserve"> (kek.),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77479/11, §§ 53 64, 3 Mart 2015).</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16</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w:t>
      </w:r>
      <w:bookmarkEnd w:id="44"/>
      <w:r w:rsidRPr="007D6614">
        <w:rPr>
          <w:rFonts w:ascii="Times New Roman" w:eastAsia="Times New Roman" w:hAnsi="Times New Roman" w:cs="Times New Roman"/>
          <w:sz w:val="24"/>
          <w:szCs w:val="24"/>
        </w:rPr>
        <w:t xml:space="preserve">Sözleşme'nin 5. maddesinin 1. fıkrası kapsamındaki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in özüne gelince, Daire'nin 20 Kasım 2018 tarihli kararında elde ettiği bulguları tamamen onaylıyorum. </w:t>
      </w:r>
      <w:proofErr w:type="gramStart"/>
      <w:r w:rsidRPr="007D6614">
        <w:rPr>
          <w:rFonts w:ascii="Times New Roman" w:eastAsia="Times New Roman" w:hAnsi="Times New Roman" w:cs="Times New Roman"/>
          <w:sz w:val="24"/>
          <w:szCs w:val="24"/>
        </w:rPr>
        <w:t xml:space="preserve">Bu bağlamda, dosyadan da görülebileceği gibi, özellikle üç delil not etmek istiyorum: Başvurucunun PKK liderinin heykelini dikeceğine dair bir gösterideki ifadeleri ve 21 Nisan 2013 tarihinde bir siyasi partinin binasında yaptığı PKK'nın ilk terörist saldırılarına "1984'teki darbe" ve "Şemdinli [ve] </w:t>
      </w:r>
      <w:proofErr w:type="spellStart"/>
      <w:r w:rsidRPr="007D6614">
        <w:rPr>
          <w:rFonts w:ascii="Times New Roman" w:eastAsia="Times New Roman" w:hAnsi="Times New Roman" w:cs="Times New Roman"/>
          <w:sz w:val="24"/>
          <w:szCs w:val="24"/>
        </w:rPr>
        <w:t>Eruh'daki</w:t>
      </w:r>
      <w:proofErr w:type="spellEnd"/>
      <w:r w:rsidRPr="007D6614">
        <w:rPr>
          <w:rFonts w:ascii="Times New Roman" w:eastAsia="Times New Roman" w:hAnsi="Times New Roman" w:cs="Times New Roman"/>
          <w:sz w:val="24"/>
          <w:szCs w:val="24"/>
        </w:rPr>
        <w:t xml:space="preserve"> direniş" olarak atıfta bulunduğu (bakınız kararın 79. paragrafı) konuşma; PKK'nın önde gelen üyeleri arasında ve onlarla başvurucu arasında yapılan konuşmaların dökümleri (kararın 79. paragrafı); ve 6 Ekim 2014 tarihinde resmi HDP </w:t>
      </w:r>
      <w:proofErr w:type="spellStart"/>
      <w:r w:rsidRPr="007D6614">
        <w:rPr>
          <w:rFonts w:ascii="Times New Roman" w:eastAsia="Times New Roman" w:hAnsi="Times New Roman" w:cs="Times New Roman"/>
          <w:sz w:val="24"/>
          <w:szCs w:val="24"/>
        </w:rPr>
        <w:t>Twitter</w:t>
      </w:r>
      <w:proofErr w:type="spellEnd"/>
      <w:r w:rsidRPr="007D6614">
        <w:rPr>
          <w:rFonts w:ascii="Times New Roman" w:eastAsia="Times New Roman" w:hAnsi="Times New Roman" w:cs="Times New Roman"/>
          <w:sz w:val="24"/>
          <w:szCs w:val="24"/>
        </w:rPr>
        <w:t xml:space="preserve"> hesabından yayınlanan </w:t>
      </w:r>
      <w:proofErr w:type="spellStart"/>
      <w:r w:rsidRPr="007D6614">
        <w:rPr>
          <w:rFonts w:ascii="Times New Roman" w:eastAsia="Times New Roman" w:hAnsi="Times New Roman" w:cs="Times New Roman"/>
          <w:sz w:val="24"/>
          <w:szCs w:val="24"/>
        </w:rPr>
        <w:t>tweetler</w:t>
      </w:r>
      <w:proofErr w:type="spellEnd"/>
      <w:r w:rsidRPr="007D6614">
        <w:rPr>
          <w:rFonts w:ascii="Times New Roman" w:eastAsia="Times New Roman" w:hAnsi="Times New Roman" w:cs="Times New Roman"/>
          <w:sz w:val="24"/>
          <w:szCs w:val="24"/>
        </w:rPr>
        <w:t xml:space="preserve"> (bakınız kararın 20. paragrafı). </w:t>
      </w:r>
      <w:proofErr w:type="gramEnd"/>
      <w:r w:rsidRPr="007D6614">
        <w:rPr>
          <w:rFonts w:ascii="Times New Roman" w:eastAsia="Times New Roman" w:hAnsi="Times New Roman" w:cs="Times New Roman"/>
          <w:sz w:val="24"/>
          <w:szCs w:val="24"/>
        </w:rPr>
        <w:t xml:space="preserve">Şüphe aşamasında ihtiyaç duyulan olgusal gerekçelendirme düzeyine ilişkin olarak, kanıtlar, olaylar ve Sözleşme'nin 5. maddesinin 1. fıkrasının </w:t>
      </w:r>
      <w:r w:rsidRPr="007D6614">
        <w:rPr>
          <w:rFonts w:ascii="Times New Roman" w:eastAsia="Times New Roman" w:hAnsi="Times New Roman" w:cs="Times New Roman"/>
          <w:sz w:val="24"/>
          <w:szCs w:val="24"/>
        </w:rPr>
        <w:lastRenderedPageBreak/>
        <w:t>gereklilikleri ışığında, başvurucunun, bir suç işlemiş olduğu için “makul şüphe” ile yakalandığının ve tutuklandığının söylenebileceği kanaatindeyim.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17</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Yukarıdakilerin ışığında, ulusal makamların, başvurucunun bir suç işlediğine dair makul bir şüphe olduğu sonucuna varmak için yeterli gerekçeleri olduğuna inanıyorum. Buna göre, Sözleşme'nin 5. maddesinin 1. fıkrasının ihlal edilmediğini düşünüyorum.</w:t>
      </w:r>
    </w:p>
    <w:p w:rsidR="007D6614" w:rsidRPr="007D6614" w:rsidRDefault="007D6614" w:rsidP="007D6614">
      <w:pPr>
        <w:keepNext/>
        <w:keepLines/>
        <w:numPr>
          <w:ilvl w:val="1"/>
          <w:numId w:val="0"/>
        </w:numPr>
        <w:tabs>
          <w:tab w:val="left" w:pos="454"/>
          <w:tab w:val="left" w:pos="567"/>
          <w:tab w:val="left" w:pos="680"/>
        </w:tabs>
        <w:spacing w:before="100" w:beforeAutospacing="1" w:after="240" w:line="240" w:lineRule="auto"/>
        <w:ind w:left="397" w:hanging="397"/>
        <w:jc w:val="both"/>
        <w:outlineLvl w:val="1"/>
        <w:rPr>
          <w:rFonts w:ascii="Times New Roman" w:eastAsia="MS Gothic" w:hAnsi="Times New Roman" w:cs="Microsoft Himalaya"/>
          <w:bCs/>
          <w:caps/>
          <w:sz w:val="24"/>
          <w:szCs w:val="26"/>
        </w:rPr>
      </w:pPr>
      <w:r w:rsidRPr="007D6614">
        <w:rPr>
          <w:rFonts w:ascii="Times New Roman" w:eastAsia="MS Gothic" w:hAnsi="Times New Roman" w:cs="Microsoft Himalaya"/>
          <w:bCs/>
          <w:caps/>
          <w:sz w:val="24"/>
          <w:szCs w:val="26"/>
        </w:rPr>
        <w:t xml:space="preserve">SÖZLEŞME'NİN 5. MADDESİnin 3. fıkrası KAPSAMINDAKİ </w:t>
      </w:r>
      <w:proofErr w:type="gramStart"/>
      <w:r w:rsidRPr="007D6614">
        <w:rPr>
          <w:rFonts w:ascii="Times New Roman" w:eastAsia="MS Gothic" w:hAnsi="Times New Roman" w:cs="Microsoft Himalaya"/>
          <w:bCs/>
          <w:caps/>
          <w:sz w:val="24"/>
          <w:szCs w:val="26"/>
        </w:rPr>
        <w:t>ŞİKAYETE</w:t>
      </w:r>
      <w:proofErr w:type="gramEnd"/>
      <w:r w:rsidRPr="007D6614">
        <w:rPr>
          <w:rFonts w:ascii="Times New Roman" w:eastAsia="MS Gothic" w:hAnsi="Times New Roman" w:cs="Microsoft Himalaya"/>
          <w:bCs/>
          <w:caps/>
          <w:sz w:val="24"/>
          <w:szCs w:val="26"/>
        </w:rPr>
        <w:t xml:space="preserve"> İLİŞKİN</w:t>
      </w:r>
    </w:p>
    <w:p w:rsidR="007D6614" w:rsidRPr="007D6614" w:rsidRDefault="007D6614" w:rsidP="007D6614">
      <w:pPr>
        <w:spacing w:after="0" w:line="240" w:lineRule="auto"/>
        <w:ind w:firstLine="284"/>
        <w:jc w:val="both"/>
        <w:rPr>
          <w:rFonts w:ascii="Times New Roman" w:eastAsia="Times New Roman" w:hAnsi="Times New Roman" w:cs="Microsoft Himalaya"/>
          <w:snapToGrid w:val="0"/>
          <w:sz w:val="24"/>
          <w:szCs w:val="24"/>
        </w:rPr>
      </w:pPr>
      <w:r w:rsidRPr="007D6614">
        <w:rPr>
          <w:rFonts w:ascii="Times New Roman" w:eastAsia="Times New Roman" w:hAnsi="Times New Roman" w:cs="Microsoft Himalaya"/>
          <w:snapToGrid w:val="0"/>
          <w:sz w:val="24"/>
          <w:szCs w:val="24"/>
        </w:rPr>
        <w:fldChar w:fldCharType="begin"/>
      </w:r>
      <w:r w:rsidRPr="007D6614">
        <w:rPr>
          <w:rFonts w:ascii="Times New Roman" w:eastAsia="Times New Roman" w:hAnsi="Times New Roman" w:cs="Microsoft Himalaya"/>
          <w:snapToGrid w:val="0"/>
          <w:sz w:val="24"/>
          <w:szCs w:val="24"/>
        </w:rPr>
        <w:instrText xml:space="preserve"> SEQ level0 \*arabic </w:instrText>
      </w:r>
      <w:r w:rsidRPr="007D6614">
        <w:rPr>
          <w:rFonts w:ascii="Times New Roman" w:eastAsia="Times New Roman" w:hAnsi="Times New Roman" w:cs="Microsoft Himalaya"/>
          <w:snapToGrid w:val="0"/>
          <w:sz w:val="24"/>
          <w:szCs w:val="24"/>
        </w:rPr>
        <w:fldChar w:fldCharType="separate"/>
      </w:r>
      <w:r w:rsidR="001302A1">
        <w:rPr>
          <w:rFonts w:ascii="Times New Roman" w:eastAsia="Times New Roman" w:hAnsi="Times New Roman" w:cs="Microsoft Himalaya"/>
          <w:noProof/>
          <w:snapToGrid w:val="0"/>
          <w:sz w:val="24"/>
          <w:szCs w:val="24"/>
        </w:rPr>
        <w:t>18</w:t>
      </w:r>
      <w:r w:rsidRPr="007D6614">
        <w:rPr>
          <w:rFonts w:ascii="Times New Roman" w:eastAsia="Times New Roman" w:hAnsi="Times New Roman" w:cs="Microsoft Himalaya"/>
          <w:snapToGrid w:val="0"/>
          <w:sz w:val="24"/>
          <w:szCs w:val="24"/>
        </w:rPr>
        <w:fldChar w:fldCharType="end"/>
      </w:r>
      <w:r w:rsidRPr="007D6614">
        <w:rPr>
          <w:rFonts w:ascii="Times New Roman" w:eastAsia="Times New Roman" w:hAnsi="Times New Roman" w:cs="Microsoft Himalaya"/>
          <w:snapToGrid w:val="0"/>
          <w:sz w:val="24"/>
          <w:szCs w:val="24"/>
        </w:rPr>
        <w:t>.  </w:t>
      </w:r>
      <w:r w:rsidRPr="007D6614">
        <w:rPr>
          <w:rFonts w:ascii="Times New Roman" w:eastAsia="Times New Roman" w:hAnsi="Times New Roman" w:cs="Microsoft Himalaya"/>
          <w:sz w:val="24"/>
          <w:szCs w:val="24"/>
        </w:rPr>
        <w:t xml:space="preserve">Başvurucunun artık 5. maddesinin 3. fıkrasının ihlalinin mağduru olduğunu iddia edemeyeceği görüşünde olduğumdan, bu hüküm kapsamındaki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in esasına ilişkin çoğunluğun bulgularına karşı oy kullandım.</w:t>
      </w:r>
    </w:p>
    <w:p w:rsidR="007D6614" w:rsidRPr="007D6614" w:rsidRDefault="007D6614" w:rsidP="007D6614">
      <w:pPr>
        <w:keepNext/>
        <w:keepLines/>
        <w:numPr>
          <w:ilvl w:val="1"/>
          <w:numId w:val="0"/>
        </w:numPr>
        <w:tabs>
          <w:tab w:val="left" w:pos="454"/>
          <w:tab w:val="left" w:pos="567"/>
          <w:tab w:val="left" w:pos="680"/>
        </w:tabs>
        <w:spacing w:before="100" w:beforeAutospacing="1" w:after="240" w:line="240" w:lineRule="auto"/>
        <w:ind w:left="397" w:hanging="397"/>
        <w:jc w:val="both"/>
        <w:outlineLvl w:val="1"/>
        <w:rPr>
          <w:rFonts w:ascii="Times New Roman" w:eastAsia="MS Gothic" w:hAnsi="Times New Roman" w:cs="Microsoft Himalaya"/>
          <w:bCs/>
          <w:caps/>
          <w:sz w:val="24"/>
          <w:szCs w:val="26"/>
        </w:rPr>
      </w:pPr>
      <w:r w:rsidRPr="007D6614">
        <w:rPr>
          <w:rFonts w:ascii="Times New Roman" w:eastAsia="MS Gothic" w:hAnsi="Times New Roman" w:cs="Microsoft Himalaya"/>
          <w:bCs/>
          <w:caps/>
          <w:sz w:val="24"/>
          <w:szCs w:val="26"/>
        </w:rPr>
        <w:t xml:space="preserve">SÖZLEŞME'YE EK 1 numaralı PROTOKOL'ÜN 3. MADDESİNE İLİŞKİN </w:t>
      </w:r>
      <w:proofErr w:type="gramStart"/>
      <w:r w:rsidRPr="007D6614">
        <w:rPr>
          <w:rFonts w:ascii="Times New Roman" w:eastAsia="MS Gothic" w:hAnsi="Times New Roman" w:cs="Microsoft Himalaya"/>
          <w:bCs/>
          <w:caps/>
          <w:sz w:val="24"/>
          <w:szCs w:val="26"/>
        </w:rPr>
        <w:t>ŞİKAYETE</w:t>
      </w:r>
      <w:proofErr w:type="gramEnd"/>
      <w:r w:rsidRPr="007D6614">
        <w:rPr>
          <w:rFonts w:ascii="Times New Roman" w:eastAsia="MS Gothic" w:hAnsi="Times New Roman" w:cs="Microsoft Himalaya"/>
          <w:bCs/>
          <w:caps/>
          <w:sz w:val="24"/>
          <w:szCs w:val="26"/>
        </w:rPr>
        <w:t xml:space="preserve"> İLİŞKİN</w:t>
      </w:r>
    </w:p>
    <w:p w:rsidR="007D6614" w:rsidRPr="007D6614" w:rsidRDefault="007D6614" w:rsidP="007D6614">
      <w:pPr>
        <w:spacing w:after="0" w:line="240" w:lineRule="auto"/>
        <w:ind w:firstLine="284"/>
        <w:jc w:val="both"/>
        <w:rPr>
          <w:rFonts w:ascii="Times New Roman" w:eastAsia="Times New Roman" w:hAnsi="Times New Roman" w:cs="Microsoft Himalaya"/>
          <w:sz w:val="24"/>
          <w:szCs w:val="24"/>
        </w:rPr>
      </w:pPr>
      <w:r w:rsidRPr="007D6614">
        <w:rPr>
          <w:rFonts w:ascii="Times New Roman" w:eastAsia="Times New Roman" w:hAnsi="Times New Roman" w:cs="Times New Roman"/>
          <w:color w:val="000000"/>
          <w:sz w:val="24"/>
          <w:szCs w:val="24"/>
        </w:rPr>
        <w:fldChar w:fldCharType="begin"/>
      </w:r>
      <w:r w:rsidRPr="007D6614">
        <w:rPr>
          <w:rFonts w:ascii="Times New Roman" w:eastAsia="Times New Roman" w:hAnsi="Times New Roman" w:cs="Times New Roman"/>
          <w:color w:val="000000"/>
          <w:sz w:val="24"/>
          <w:szCs w:val="24"/>
        </w:rPr>
        <w:instrText xml:space="preserve"> SEQ level0 \*arabic </w:instrText>
      </w:r>
      <w:r w:rsidRPr="007D6614">
        <w:rPr>
          <w:rFonts w:ascii="Times New Roman" w:eastAsia="Times New Roman" w:hAnsi="Times New Roman" w:cs="Times New Roman"/>
          <w:color w:val="000000"/>
          <w:sz w:val="24"/>
          <w:szCs w:val="24"/>
        </w:rPr>
        <w:fldChar w:fldCharType="separate"/>
      </w:r>
      <w:r w:rsidR="001302A1">
        <w:rPr>
          <w:rFonts w:ascii="Times New Roman" w:eastAsia="Times New Roman" w:hAnsi="Times New Roman" w:cs="Times New Roman"/>
          <w:noProof/>
          <w:color w:val="000000"/>
          <w:sz w:val="24"/>
          <w:szCs w:val="24"/>
        </w:rPr>
        <w:t>19</w:t>
      </w:r>
      <w:r w:rsidRPr="007D6614">
        <w:rPr>
          <w:rFonts w:ascii="Times New Roman" w:eastAsia="Times New Roman" w:hAnsi="Times New Roman" w:cs="Times New Roman"/>
          <w:color w:val="000000"/>
          <w:sz w:val="24"/>
          <w:szCs w:val="24"/>
        </w:rPr>
        <w:fldChar w:fldCharType="end"/>
      </w:r>
      <w:r w:rsidRPr="007D6614">
        <w:rPr>
          <w:rFonts w:ascii="Times New Roman" w:eastAsia="Times New Roman" w:hAnsi="Times New Roman" w:cs="Times New Roman"/>
          <w:color w:val="000000"/>
          <w:sz w:val="24"/>
          <w:szCs w:val="24"/>
        </w:rPr>
        <w:t>.  </w:t>
      </w:r>
      <w:r w:rsidRPr="007D6614">
        <w:rPr>
          <w:rFonts w:ascii="Times New Roman" w:eastAsia="Times New Roman" w:hAnsi="Times New Roman" w:cs="Microsoft Himalaya"/>
          <w:sz w:val="24"/>
          <w:szCs w:val="24"/>
        </w:rPr>
        <w:t xml:space="preserve">Başvurucunun, </w:t>
      </w:r>
      <w:proofErr w:type="spellStart"/>
      <w:r w:rsidRPr="007D6614">
        <w:rPr>
          <w:rFonts w:ascii="Times New Roman" w:eastAsia="Times New Roman" w:hAnsi="Times New Roman" w:cs="Microsoft Himalaya"/>
          <w:sz w:val="24"/>
          <w:szCs w:val="24"/>
        </w:rPr>
        <w:t>Sözleşme'ye</w:t>
      </w:r>
      <w:proofErr w:type="spellEnd"/>
      <w:r w:rsidRPr="007D6614">
        <w:rPr>
          <w:rFonts w:ascii="Times New Roman" w:eastAsia="Times New Roman" w:hAnsi="Times New Roman" w:cs="Microsoft Himalaya"/>
          <w:sz w:val="24"/>
          <w:szCs w:val="24"/>
        </w:rPr>
        <w:t xml:space="preserve"> Ek 1 Numaralı Protokol'ün 3. maddesi kapsamındaki </w:t>
      </w:r>
      <w:r w:rsidR="00DA1D16">
        <w:rPr>
          <w:rFonts w:ascii="Times New Roman" w:eastAsia="Times New Roman" w:hAnsi="Times New Roman" w:cs="Microsoft Himalaya"/>
          <w:sz w:val="24"/>
          <w:szCs w:val="24"/>
        </w:rPr>
        <w:t>şikâyet</w:t>
      </w:r>
      <w:r w:rsidRPr="007D6614">
        <w:rPr>
          <w:rFonts w:ascii="Times New Roman" w:eastAsia="Times New Roman" w:hAnsi="Times New Roman" w:cs="Microsoft Himalaya"/>
          <w:sz w:val="24"/>
          <w:szCs w:val="24"/>
        </w:rPr>
        <w:t xml:space="preserve">i ile ilgili olarak, mevcut davanın özel koşullarında, yetkili sulh ceza </w:t>
      </w:r>
      <w:r w:rsidR="00DA1D16">
        <w:rPr>
          <w:rFonts w:ascii="Times New Roman" w:eastAsia="Times New Roman" w:hAnsi="Times New Roman" w:cs="Microsoft Himalaya"/>
          <w:sz w:val="24"/>
          <w:szCs w:val="24"/>
        </w:rPr>
        <w:t>hâkim</w:t>
      </w:r>
      <w:r w:rsidRPr="007D6614">
        <w:rPr>
          <w:rFonts w:ascii="Times New Roman" w:eastAsia="Times New Roman" w:hAnsi="Times New Roman" w:cs="Microsoft Himalaya"/>
          <w:sz w:val="24"/>
          <w:szCs w:val="24"/>
        </w:rPr>
        <w:t>likleri ve ağır ceza mahkemelerinin başvurucunun devam eden tutukluluğunun, bir milletvekili ve bir siyasi partinin eş genel başkanı olması nedeniyle dayanaksız olduğu iddialarını değerlendirmemesi nedeniyle bu hüküm ihlal edilmiştir. Bu noktada, Anayasa Mahkemesi’nin ikinci kararında 5. maddenin 3. fıkrasına göre de dikkate alınan çoğunluk kararına katılıyorum.</w:t>
      </w:r>
    </w:p>
    <w:p w:rsidR="007D6614" w:rsidRPr="007D6614" w:rsidRDefault="007D6614" w:rsidP="007D6614">
      <w:pPr>
        <w:spacing w:after="0" w:line="240" w:lineRule="auto"/>
        <w:jc w:val="both"/>
        <w:rPr>
          <w:rFonts w:ascii="Times New Roman" w:eastAsia="Times New Roman" w:hAnsi="Times New Roman" w:cs="Microsoft Himalaya"/>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r w:rsidRPr="007D6614">
        <w:rPr>
          <w:rFonts w:ascii="Times New Roman" w:eastAsia="Times New Roman" w:hAnsi="Times New Roman" w:cs="Times New Roman"/>
          <w:color w:val="000000"/>
          <w:sz w:val="24"/>
          <w:szCs w:val="24"/>
        </w:rPr>
        <w:fldChar w:fldCharType="begin"/>
      </w:r>
      <w:r w:rsidRPr="007D6614">
        <w:rPr>
          <w:rFonts w:ascii="Times New Roman" w:eastAsia="Times New Roman" w:hAnsi="Times New Roman" w:cs="Times New Roman"/>
          <w:color w:val="000000"/>
          <w:sz w:val="24"/>
          <w:szCs w:val="24"/>
        </w:rPr>
        <w:instrText xml:space="preserve"> SEQ level0 \*arabic </w:instrText>
      </w:r>
      <w:r w:rsidRPr="007D6614">
        <w:rPr>
          <w:rFonts w:ascii="Times New Roman" w:eastAsia="Times New Roman" w:hAnsi="Times New Roman" w:cs="Times New Roman"/>
          <w:color w:val="000000"/>
          <w:sz w:val="24"/>
          <w:szCs w:val="24"/>
        </w:rPr>
        <w:fldChar w:fldCharType="separate"/>
      </w:r>
      <w:r w:rsidR="001302A1">
        <w:rPr>
          <w:rFonts w:ascii="Times New Roman" w:eastAsia="Times New Roman" w:hAnsi="Times New Roman" w:cs="Times New Roman"/>
          <w:noProof/>
          <w:color w:val="000000"/>
          <w:sz w:val="24"/>
          <w:szCs w:val="24"/>
        </w:rPr>
        <w:t>20</w:t>
      </w:r>
      <w:r w:rsidRPr="007D6614">
        <w:rPr>
          <w:rFonts w:ascii="Times New Roman" w:eastAsia="Times New Roman" w:hAnsi="Times New Roman" w:cs="Times New Roman"/>
          <w:color w:val="000000"/>
          <w:sz w:val="24"/>
          <w:szCs w:val="24"/>
        </w:rPr>
        <w:fldChar w:fldCharType="end"/>
      </w:r>
      <w:r w:rsidRPr="007D6614">
        <w:rPr>
          <w:rFonts w:ascii="Times New Roman" w:eastAsia="Times New Roman" w:hAnsi="Times New Roman" w:cs="Times New Roman"/>
          <w:color w:val="000000"/>
          <w:sz w:val="24"/>
          <w:szCs w:val="24"/>
        </w:rPr>
        <w:t>.  </w:t>
      </w:r>
      <w:r w:rsidRPr="007D6614">
        <w:rPr>
          <w:rFonts w:ascii="Times New Roman" w:eastAsia="Times New Roman" w:hAnsi="Times New Roman" w:cs="Times New Roman"/>
          <w:sz w:val="24"/>
          <w:szCs w:val="24"/>
        </w:rPr>
        <w:t xml:space="preserve">Yine de, çoğunluğun </w:t>
      </w:r>
      <w:proofErr w:type="spellStart"/>
      <w:r w:rsidRPr="007D6614">
        <w:rPr>
          <w:rFonts w:ascii="Times New Roman" w:eastAsia="Times New Roman" w:hAnsi="Times New Roman" w:cs="Times New Roman"/>
          <w:sz w:val="24"/>
          <w:szCs w:val="24"/>
        </w:rPr>
        <w:t>Sözleşme’ye</w:t>
      </w:r>
      <w:proofErr w:type="spellEnd"/>
      <w:r w:rsidRPr="007D6614">
        <w:rPr>
          <w:rFonts w:ascii="Times New Roman" w:eastAsia="Times New Roman" w:hAnsi="Times New Roman" w:cs="Times New Roman"/>
          <w:sz w:val="24"/>
          <w:szCs w:val="24"/>
        </w:rPr>
        <w:t xml:space="preserve"> Ek 1 Numaralı Protokol'ün 3. maddesi kapsamındaki değerlendirmesinde Sözleşme'nin 10. maddesi ve 5. maddesindeki ihlal bulgularına yapılan atıflarla ilgili olan gerekçenin belirli kısımlarından saygıyla ayrılıyorum (bakınız özellikle kararın 394. paragrafı).</w:t>
      </w:r>
    </w:p>
    <w:p w:rsidR="007D6614" w:rsidRPr="007D6614" w:rsidRDefault="007D6614" w:rsidP="007D6614">
      <w:pPr>
        <w:keepNext/>
        <w:keepLines/>
        <w:numPr>
          <w:ilvl w:val="1"/>
          <w:numId w:val="0"/>
        </w:numPr>
        <w:tabs>
          <w:tab w:val="left" w:pos="454"/>
          <w:tab w:val="left" w:pos="567"/>
          <w:tab w:val="left" w:pos="680"/>
        </w:tabs>
        <w:spacing w:before="100" w:beforeAutospacing="1" w:after="240" w:line="240" w:lineRule="auto"/>
        <w:ind w:left="397" w:hanging="397"/>
        <w:jc w:val="both"/>
        <w:outlineLvl w:val="1"/>
        <w:rPr>
          <w:rFonts w:ascii="Times New Roman" w:eastAsia="MS Gothic" w:hAnsi="Times New Roman" w:cs="Microsoft Himalaya"/>
          <w:bCs/>
          <w:caps/>
          <w:sz w:val="24"/>
          <w:szCs w:val="26"/>
        </w:rPr>
      </w:pPr>
      <w:r w:rsidRPr="007D6614">
        <w:rPr>
          <w:rFonts w:ascii="Times New Roman" w:eastAsia="MS Gothic" w:hAnsi="Times New Roman" w:cs="Microsoft Himalaya"/>
          <w:bCs/>
          <w:caps/>
          <w:sz w:val="24"/>
          <w:szCs w:val="26"/>
        </w:rPr>
        <w:t xml:space="preserve">SÖZLEŞME'NİN 18. MADDESİNE yönelik </w:t>
      </w:r>
      <w:proofErr w:type="gramStart"/>
      <w:r w:rsidRPr="007D6614">
        <w:rPr>
          <w:rFonts w:ascii="Times New Roman" w:eastAsia="MS Gothic" w:hAnsi="Times New Roman" w:cs="Microsoft Himalaya"/>
          <w:bCs/>
          <w:caps/>
          <w:sz w:val="24"/>
          <w:szCs w:val="26"/>
        </w:rPr>
        <w:t>ŞİKAYETE</w:t>
      </w:r>
      <w:proofErr w:type="gramEnd"/>
      <w:r w:rsidRPr="007D6614">
        <w:rPr>
          <w:rFonts w:ascii="Times New Roman" w:eastAsia="MS Gothic" w:hAnsi="Times New Roman" w:cs="Microsoft Himalaya"/>
          <w:bCs/>
          <w:caps/>
          <w:sz w:val="24"/>
          <w:szCs w:val="26"/>
        </w:rPr>
        <w:t xml:space="preserve"> İLİŞKİN</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21</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Sözleşme'nin 5. maddesiyle bağlantılı olarak 18. maddenin ihlal edildiği tespitine karşı oy verdim çünkü böyle bir bulgunun mevcut davanın koşulları dikkate alınarak Mahkeme'nin içtihadıyla uyumlu olup olmadığına dair ciddi şüphelerim var (bakınız özellikle </w:t>
      </w:r>
      <w:proofErr w:type="spellStart"/>
      <w:r w:rsidRPr="007D6614">
        <w:rPr>
          <w:rFonts w:ascii="Times New Roman" w:eastAsia="Times New Roman" w:hAnsi="Times New Roman" w:cs="Times New Roman"/>
          <w:i/>
          <w:iCs/>
          <w:sz w:val="24"/>
          <w:szCs w:val="24"/>
        </w:rPr>
        <w:t>Merabishvili</w:t>
      </w:r>
      <w:proofErr w:type="spellEnd"/>
      <w:r w:rsidRPr="007D6614">
        <w:rPr>
          <w:rFonts w:ascii="Times New Roman" w:eastAsia="Times New Roman" w:hAnsi="Times New Roman" w:cs="Times New Roman"/>
          <w:i/>
          <w:iCs/>
          <w:sz w:val="24"/>
          <w:szCs w:val="24"/>
        </w:rPr>
        <w:t xml:space="preserve"> v. Gürcistan</w:t>
      </w:r>
      <w:r w:rsidRPr="007D6614">
        <w:rPr>
          <w:rFonts w:ascii="Times New Roman" w:eastAsia="Times New Roman" w:hAnsi="Times New Roman" w:cs="Times New Roman"/>
          <w:sz w:val="24"/>
          <w:szCs w:val="24"/>
        </w:rPr>
        <w:t xml:space="preserve"> [BD],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72508/13, 28 Kasım 2017).</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22</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w:t>
      </w:r>
      <w:proofErr w:type="gramStart"/>
      <w:r w:rsidRPr="007D6614">
        <w:rPr>
          <w:rFonts w:ascii="Times New Roman" w:eastAsia="Times New Roman" w:hAnsi="Times New Roman" w:cs="Times New Roman"/>
          <w:sz w:val="24"/>
          <w:szCs w:val="24"/>
        </w:rPr>
        <w:t xml:space="preserve">Mahkeme'nin içtihadından anlaşıldığı kadarıyla, 5. madde ile bağlantılı olarak 18. madde kapsamında bir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in olduğu durumlarda, </w:t>
      </w:r>
      <w:r w:rsidRPr="007D6614">
        <w:rPr>
          <w:rFonts w:ascii="Times New Roman" w:eastAsia="Times New Roman" w:hAnsi="Times New Roman" w:cs="Times New Roman"/>
          <w:sz w:val="24"/>
          <w:szCs w:val="24"/>
        </w:rPr>
        <w:lastRenderedPageBreak/>
        <w:t xml:space="preserve">Mahkeme ilk olarak başvurucunun özgürlüğünden yoksun bırakılmasının Sözleşme ile uyumlu bir amaca hizmet edip etmediğini inceler (bakınız </w:t>
      </w:r>
      <w:proofErr w:type="spellStart"/>
      <w:r w:rsidRPr="007D6614">
        <w:rPr>
          <w:rFonts w:ascii="Times New Roman" w:eastAsia="Times New Roman" w:hAnsi="Times New Roman" w:cs="Times New Roman"/>
          <w:i/>
          <w:iCs/>
          <w:sz w:val="24"/>
          <w:szCs w:val="24"/>
        </w:rPr>
        <w:t>Rasul</w:t>
      </w:r>
      <w:proofErr w:type="spellEnd"/>
      <w:r w:rsidRPr="007D6614">
        <w:rPr>
          <w:rFonts w:ascii="Times New Roman" w:eastAsia="Times New Roman" w:hAnsi="Times New Roman" w:cs="Times New Roman"/>
          <w:i/>
          <w:iCs/>
          <w:sz w:val="24"/>
          <w:szCs w:val="24"/>
        </w:rPr>
        <w:t xml:space="preserve"> </w:t>
      </w:r>
      <w:proofErr w:type="spellStart"/>
      <w:r w:rsidRPr="007D6614">
        <w:rPr>
          <w:rFonts w:ascii="Times New Roman" w:eastAsia="Times New Roman" w:hAnsi="Times New Roman" w:cs="Times New Roman"/>
          <w:i/>
          <w:iCs/>
          <w:sz w:val="24"/>
          <w:szCs w:val="24"/>
        </w:rPr>
        <w:t>Jafarov</w:t>
      </w:r>
      <w:proofErr w:type="spellEnd"/>
      <w:r w:rsidRPr="007D6614">
        <w:rPr>
          <w:rFonts w:ascii="Times New Roman" w:eastAsia="Times New Roman" w:hAnsi="Times New Roman" w:cs="Times New Roman"/>
          <w:i/>
          <w:iCs/>
          <w:sz w:val="24"/>
          <w:szCs w:val="24"/>
        </w:rPr>
        <w:t xml:space="preserve"> v. Azerbaycan</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69981/14, §§ 153-63, 17 Mart 2016 ve </w:t>
      </w:r>
      <w:proofErr w:type="spellStart"/>
      <w:r w:rsidRPr="007D6614">
        <w:rPr>
          <w:rFonts w:ascii="Times New Roman" w:eastAsia="Times New Roman" w:hAnsi="Times New Roman" w:cs="Times New Roman"/>
          <w:i/>
          <w:iCs/>
          <w:sz w:val="24"/>
          <w:szCs w:val="24"/>
        </w:rPr>
        <w:t>Khodorkovskiy</w:t>
      </w:r>
      <w:proofErr w:type="spellEnd"/>
      <w:r w:rsidRPr="007D6614">
        <w:rPr>
          <w:rFonts w:ascii="Times New Roman" w:eastAsia="Times New Roman" w:hAnsi="Times New Roman" w:cs="Times New Roman"/>
          <w:i/>
          <w:iCs/>
          <w:sz w:val="24"/>
          <w:szCs w:val="24"/>
        </w:rPr>
        <w:t xml:space="preserve"> v. Rusya</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5829/04, §§ 254-61, 31 Mayıs 2011). </w:t>
      </w:r>
      <w:proofErr w:type="gramEnd"/>
      <w:r w:rsidRPr="007D6614">
        <w:rPr>
          <w:rFonts w:ascii="Times New Roman" w:eastAsia="Times New Roman" w:hAnsi="Times New Roman" w:cs="Times New Roman"/>
          <w:sz w:val="24"/>
          <w:szCs w:val="24"/>
        </w:rPr>
        <w:t xml:space="preserve">İkinci olarak Mahkeme, yetkililerin eylemlerinin aslında uygunsuz nedenlerden kaynaklandığına dair kanıt olup olmadığını inceler ve kararını, </w:t>
      </w:r>
      <w:proofErr w:type="spellStart"/>
      <w:r w:rsidRPr="007D6614">
        <w:rPr>
          <w:rFonts w:ascii="Times New Roman" w:eastAsia="Times New Roman" w:hAnsi="Times New Roman" w:cs="Times New Roman"/>
          <w:i/>
          <w:iCs/>
          <w:sz w:val="24"/>
          <w:szCs w:val="24"/>
        </w:rPr>
        <w:t>Merabishvili</w:t>
      </w:r>
      <w:proofErr w:type="spellEnd"/>
      <w:r w:rsidRPr="007D6614">
        <w:rPr>
          <w:rFonts w:ascii="Times New Roman" w:eastAsia="Times New Roman" w:hAnsi="Times New Roman" w:cs="Times New Roman"/>
          <w:sz w:val="24"/>
          <w:szCs w:val="24"/>
        </w:rPr>
        <w:t xml:space="preserve"> kararında (yukarıda anılan, §§ 309-17) ortaya koyduğu </w:t>
      </w:r>
      <w:proofErr w:type="gramStart"/>
      <w:r w:rsidRPr="007D6614">
        <w:rPr>
          <w:rFonts w:ascii="Times New Roman" w:eastAsia="Times New Roman" w:hAnsi="Times New Roman" w:cs="Times New Roman"/>
          <w:sz w:val="24"/>
          <w:szCs w:val="24"/>
        </w:rPr>
        <w:t>kriterlere</w:t>
      </w:r>
      <w:proofErr w:type="gramEnd"/>
      <w:r w:rsidRPr="007D6614">
        <w:rPr>
          <w:rFonts w:ascii="Times New Roman" w:eastAsia="Times New Roman" w:hAnsi="Times New Roman" w:cs="Times New Roman"/>
          <w:sz w:val="24"/>
          <w:szCs w:val="24"/>
        </w:rPr>
        <w:t xml:space="preserve"> ve belirli ilgili gerçeklere ilişkin kendi değerlendirmesine uygun olarak "hukuki anlamda kanıta" dayandırmalıdır (bakınız </w:t>
      </w:r>
      <w:r w:rsidRPr="007D6614">
        <w:rPr>
          <w:rFonts w:ascii="Times New Roman" w:eastAsia="Times New Roman" w:hAnsi="Times New Roman" w:cs="Times New Roman"/>
          <w:i/>
          <w:iCs/>
          <w:sz w:val="24"/>
          <w:szCs w:val="24"/>
        </w:rPr>
        <w:t>Kavala v. Türkiye</w:t>
      </w:r>
      <w:r w:rsidRPr="007D6614">
        <w:rPr>
          <w:rFonts w:ascii="Times New Roman" w:eastAsia="Times New Roman" w:hAnsi="Times New Roman" w:cs="Times New Roman"/>
          <w:sz w:val="24"/>
          <w:szCs w:val="24"/>
        </w:rPr>
        <w:t xml:space="preserve"> kararındaki muhalif görüşüm,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28749/18, 10 Aralık 2019).</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23</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Birinci kısımla ilgili olarak, yukarıda belirtilen nedenlerden dolayı, başvurucunun cezai bir suç işlemiş olduğu için "makul şüphe" ile tutuklandığı söylenebilir. Başka bir deyişle, başvurucu, Sözleşme'nin 5. maddesinin 1. fıkrasının c bendinde öngörülen bir amaç için özgürlüğünden yoksun bırakılmıştır. Bu nedenle, çoğunluğun "başvurucunun tutukluluğu için yetkililer tarafından öne sürülen amaçların yalnızca gizli bir siyasi amacı örttüğü" şeklindeki görüşünü paylaşamam. Bu bağlamda, öncelikle Türk hukukunun 5. maddenin 1. fıkrası kapsamındaki “makul şüphe” </w:t>
      </w:r>
      <w:proofErr w:type="gramStart"/>
      <w:r w:rsidRPr="007D6614">
        <w:rPr>
          <w:rFonts w:ascii="Times New Roman" w:eastAsia="Times New Roman" w:hAnsi="Times New Roman" w:cs="Times New Roman"/>
          <w:sz w:val="24"/>
          <w:szCs w:val="24"/>
        </w:rPr>
        <w:t>kriterine</w:t>
      </w:r>
      <w:proofErr w:type="gramEnd"/>
      <w:r w:rsidRPr="007D6614">
        <w:rPr>
          <w:rFonts w:ascii="Times New Roman" w:eastAsia="Times New Roman" w:hAnsi="Times New Roman" w:cs="Times New Roman"/>
          <w:sz w:val="24"/>
          <w:szCs w:val="24"/>
        </w:rPr>
        <w:t xml:space="preserve"> ilişkin daha yüksek bir koruma standardına sahip olduğunu belirtmek isterim. Mevcut davada, Anayasa Mahkemesi </w:t>
      </w:r>
      <w:r w:rsidR="00DA1D16">
        <w:rPr>
          <w:rFonts w:ascii="Times New Roman" w:eastAsia="Times New Roman" w:hAnsi="Times New Roman" w:cs="Times New Roman"/>
          <w:sz w:val="24"/>
          <w:szCs w:val="24"/>
        </w:rPr>
        <w:t>dâhil</w:t>
      </w:r>
      <w:r w:rsidRPr="007D6614">
        <w:rPr>
          <w:rFonts w:ascii="Times New Roman" w:eastAsia="Times New Roman" w:hAnsi="Times New Roman" w:cs="Times New Roman"/>
          <w:sz w:val="24"/>
          <w:szCs w:val="24"/>
        </w:rPr>
        <w:t xml:space="preserve"> ulusal mahkemeler, başvurucunun tutukluluğunu incelemiş ve bir suç işlediğine dair güçlü bir şüphe için yeterli gerekçe bulunduğuna karar vermiştir. Diğer bir deyişle, 5. maddenin 1. fıkrasının c bendi uyarınca gerekli olan “makul şüpheye” göre daha yüksek düzeyde bir şüphenin varlığını tespit etmişlerdir. İkinci olarak, çoğunluğun, başvurucunun tutukluluğunun gerekçelerini titizlikle incelemeye tabi tuttuktan sonra yukarıda belirtilen görüşe ulaşmış olması, bu gerekçelerin herhangi bir dayanaktan yoksun veya başka bir şekilde uydurulmuş olmadığını ima etmektedir. Daire’nin ayrıca başvurucunun tutukluluğunu incelediğini ve “... </w:t>
      </w:r>
      <w:proofErr w:type="gramStart"/>
      <w:r w:rsidRPr="007D6614">
        <w:rPr>
          <w:rFonts w:ascii="Times New Roman" w:eastAsia="Times New Roman" w:hAnsi="Times New Roman" w:cs="Times New Roman"/>
          <w:sz w:val="24"/>
          <w:szCs w:val="24"/>
        </w:rPr>
        <w:t>ceza</w:t>
      </w:r>
      <w:proofErr w:type="gramEnd"/>
      <w:r w:rsidRPr="007D6614">
        <w:rPr>
          <w:rFonts w:ascii="Times New Roman" w:eastAsia="Times New Roman" w:hAnsi="Times New Roman" w:cs="Times New Roman"/>
          <w:sz w:val="24"/>
          <w:szCs w:val="24"/>
        </w:rPr>
        <w:t xml:space="preserve"> davası dosyasında, tarafsız bir gözlemciyi, başvurucunun yargılandığı suçlardan en azından bir kısmını gerçekleştirmiş olabileceğine ikna etmek için yeterli bilgi bulunduğunu” belirtmek isterim (Daire kararının 169. paragrafına bakınız). Bu faktörleri göz önünde bulundurarak, ulusal mahkemelerin ve Daire'nin 5. maddenin 1. </w:t>
      </w:r>
      <w:proofErr w:type="gramStart"/>
      <w:r w:rsidRPr="007D6614">
        <w:rPr>
          <w:rFonts w:ascii="Times New Roman" w:eastAsia="Times New Roman" w:hAnsi="Times New Roman" w:cs="Times New Roman"/>
          <w:sz w:val="24"/>
          <w:szCs w:val="24"/>
        </w:rPr>
        <w:t>fıkrasının  c</w:t>
      </w:r>
      <w:proofErr w:type="gramEnd"/>
      <w:r w:rsidRPr="007D6614">
        <w:rPr>
          <w:rFonts w:ascii="Times New Roman" w:eastAsia="Times New Roman" w:hAnsi="Times New Roman" w:cs="Times New Roman"/>
          <w:sz w:val="24"/>
          <w:szCs w:val="24"/>
        </w:rPr>
        <w:t xml:space="preserve"> bendi kapsamındaki "makul şüphe" gerekliliğine ilişkin kararlarından ayrılmayı haklı çıkarmak için ikna edici nedenlerin öne sürüldüğüne tamamen ikna olmadım. Bu koşullar benim, başvurucunun tutukluluğunun Sözleşme tarafından öngörülen meşru bir amaç doğrultusunda olduğu sonucuna varmamı sağladı. Bu nedenle, çoğunluğun, başvurucunun tutukluluğunun sadece gizli bir amaç için kılıf olduğu görüşünü kabul etmek benim için zor.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24</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İkinci kısımla ilgili olarak, aşağıdaki faktörler göz önüne alındığında, mevcut davada yersiz nedenlerin bulunmadığını düşünüyorum.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25</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Birincisi, başvurucunun ana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i, kendisinin ve partisinden diğer kişilerin Türkiye siyaset sahnesindeki konumları nedeniyle özellikle hedef alındığıdır. Ancak diğer siyasi partilerden milletvekillerinin de cezai kovuşturmaya maruz kaldığı partilerin sunduğu belgelerden anlaşılmaktadır (bakınız kararın 57. ve 58. paragrafları). Bu nedenle, yerel yargı makamlarının özel olarak belirli milletvekillerini hedef aldığı söylenemez.</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26</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İkinci olarak, herhangi bir durumda, bir sanığın tutukluluğunun, azami özen gösterilerek ve Sözleşme'nin gereklerine ve Mahkeme'nin ilgili içtihadına uygun olarak uygulamaya konulmasının sağlanması öncelikle ulusal yargının yetkisi </w:t>
      </w:r>
      <w:r w:rsidR="00DA1D16">
        <w:rPr>
          <w:rFonts w:ascii="Times New Roman" w:eastAsia="Times New Roman" w:hAnsi="Times New Roman" w:cs="Times New Roman"/>
          <w:sz w:val="24"/>
          <w:szCs w:val="24"/>
        </w:rPr>
        <w:t>dâhil</w:t>
      </w:r>
      <w:r w:rsidRPr="007D6614">
        <w:rPr>
          <w:rFonts w:ascii="Times New Roman" w:eastAsia="Times New Roman" w:hAnsi="Times New Roman" w:cs="Times New Roman"/>
          <w:sz w:val="24"/>
          <w:szCs w:val="24"/>
        </w:rPr>
        <w:t xml:space="preserve">indedir. Bu bağlamda, dava dosyasından, başvurucunun tutukluluğunun yerel yargıçlar tarafından ya kendi kararlarıyla ya da başvurucunun talebi üzerine birkaç kez incelendiği anlaşılmaktadır. Aslında, yerel mahkemeler, 4 Kasım 2016'dan itibaren başvurucunun tutukluluk sorununu düzenli ve hızlı bir şekilde incelemiştir. Ayrıca, Anayasa Mahkemesi, 9 Haziran 2020 tarihli kararında, oybirliğiyle, Anayasa'nın 19. maddesinin ihlal edildiğine karar vererek, başvurucunun tutukluluk süresini uzatırken, ulusal yargı makamlarının başvurucunun seçime aday olma ve siyasi faaliyetlerde bulunma hakkına ilişkin iddialarına ilişkin ilgili ve yeterli gerekçeler ileri sürmediğine hükmetmiştir. Bununla birlikte, başvurucunun tutukluluğuna ilişkin adli incelemenin belirli yönlerinin Anayasa'nın 19. maddesinin ihlal edildiğini ortaya koyduğu gerçeği, tek başına başvurucunun, Sözleşme tarafından öngörülen amaçlar dışındaki amaçlarla tutuklandığı sonuca varmak için yeterli değildir. Ayrıca, 11 Temmuz 2018 tarihli bir kararda, başvurucuya Ceza Muhakemeleri Kanunu’nun 141. maddesi uyarınca tazminat ödenmesine hükmedilmiştir. Buna göre, yargı makamlarının uygunsuz ve açık bir şekilde </w:t>
      </w:r>
      <w:proofErr w:type="spellStart"/>
      <w:r w:rsidRPr="007D6614">
        <w:rPr>
          <w:rFonts w:ascii="Times New Roman" w:eastAsia="Times New Roman" w:hAnsi="Times New Roman" w:cs="Times New Roman"/>
          <w:sz w:val="24"/>
          <w:szCs w:val="24"/>
        </w:rPr>
        <w:t>Sözleşme'ye</w:t>
      </w:r>
      <w:proofErr w:type="spellEnd"/>
      <w:r w:rsidRPr="007D6614">
        <w:rPr>
          <w:rFonts w:ascii="Times New Roman" w:eastAsia="Times New Roman" w:hAnsi="Times New Roman" w:cs="Times New Roman"/>
          <w:sz w:val="24"/>
          <w:szCs w:val="24"/>
        </w:rPr>
        <w:t xml:space="preserve"> aldırış etmeden davrandıkları sonucuna varamıyorum.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27</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Dahası, Sözleşme'nin 18. maddesi kapsamındaki gerekçelerde belli bölümler söz konusu olduğunda çoğunluğa saygıyla katılmıyorum.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28</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w:t>
      </w:r>
      <w:r w:rsidRPr="007D6614">
        <w:rPr>
          <w:rFonts w:ascii="Times New Roman" w:eastAsia="Times New Roman" w:hAnsi="Times New Roman" w:cs="Times New Roman"/>
          <w:color w:val="000000"/>
          <w:sz w:val="24"/>
          <w:szCs w:val="24"/>
        </w:rPr>
        <w:t xml:space="preserve">İlk olarak, Hâkimler ve Savcılar Kurulu’nun yapısının, Büyük Daire'nin Sözleşme'nin 18. maddesi kapsamındaki incelemesinin amaçları açısından ilgisiz olduğuna işaret etmeliyim (bakınız kararın 434. paragrafı). Aslında çoğunluk, egemen bir ulus tarafından kabul edilen bir referandumla o organın yapısında meydana gelen değişiklikleri eleştirmekte ve bu değişikliklerin mevcut davada başvurucu üzerinde nasıl bir etkisi olduğunu değerlendirmede veya bu noktanın geçerliliğini açıklamada başarısız olmuşlardır. Yeni yapı ile sözde gizli amaç arasında </w:t>
      </w:r>
      <w:proofErr w:type="spellStart"/>
      <w:r w:rsidRPr="007D6614">
        <w:rPr>
          <w:rFonts w:ascii="Times New Roman" w:eastAsia="Times New Roman" w:hAnsi="Times New Roman" w:cs="Times New Roman"/>
          <w:color w:val="000000"/>
          <w:sz w:val="24"/>
          <w:szCs w:val="24"/>
        </w:rPr>
        <w:t>nedensel</w:t>
      </w:r>
      <w:proofErr w:type="spellEnd"/>
      <w:r w:rsidRPr="007D6614">
        <w:rPr>
          <w:rFonts w:ascii="Times New Roman" w:eastAsia="Times New Roman" w:hAnsi="Times New Roman" w:cs="Times New Roman"/>
          <w:color w:val="000000"/>
          <w:sz w:val="24"/>
          <w:szCs w:val="24"/>
        </w:rPr>
        <w:t xml:space="preserve"> bir bağ bulunmadığında, bu nokta, referandumda ortaya konan anayasa değişikliklerinin özet olarak incelenmesi anlamına gelir. Bu nedenle, </w:t>
      </w:r>
      <w:r w:rsidRPr="007D6614">
        <w:rPr>
          <w:rFonts w:ascii="Times New Roman" w:eastAsia="Times New Roman" w:hAnsi="Times New Roman" w:cs="Times New Roman"/>
          <w:color w:val="000000"/>
          <w:sz w:val="24"/>
          <w:szCs w:val="24"/>
        </w:rPr>
        <w:lastRenderedPageBreak/>
        <w:t xml:space="preserve">mevcut davada Büyük Daire'nin bu konuyu kendi </w:t>
      </w:r>
      <w:proofErr w:type="gramStart"/>
      <w:r w:rsidRPr="007D6614">
        <w:rPr>
          <w:rFonts w:ascii="Times New Roman" w:eastAsia="Times New Roman" w:hAnsi="Times New Roman" w:cs="Times New Roman"/>
          <w:color w:val="000000"/>
          <w:sz w:val="24"/>
          <w:szCs w:val="24"/>
        </w:rPr>
        <w:t>motivasyonuyla</w:t>
      </w:r>
      <w:proofErr w:type="gramEnd"/>
      <w:r w:rsidRPr="007D6614">
        <w:rPr>
          <w:rFonts w:ascii="Times New Roman" w:eastAsia="Times New Roman" w:hAnsi="Times New Roman" w:cs="Times New Roman"/>
          <w:color w:val="000000"/>
          <w:sz w:val="24"/>
          <w:szCs w:val="24"/>
        </w:rPr>
        <w:t xml:space="preserve"> araştırması için herhangi bir talep olup olmadığından emin değilim.</w:t>
      </w: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r w:rsidRPr="007D6614">
        <w:rPr>
          <w:rFonts w:ascii="Times New Roman" w:eastAsia="Times New Roman" w:hAnsi="Times New Roman" w:cs="Times New Roman"/>
          <w:color w:val="000000"/>
          <w:sz w:val="24"/>
          <w:szCs w:val="24"/>
        </w:rPr>
        <w:fldChar w:fldCharType="begin"/>
      </w:r>
      <w:r w:rsidRPr="007D6614">
        <w:rPr>
          <w:rFonts w:ascii="Times New Roman" w:eastAsia="Times New Roman" w:hAnsi="Times New Roman" w:cs="Times New Roman"/>
          <w:color w:val="000000"/>
          <w:sz w:val="24"/>
          <w:szCs w:val="24"/>
        </w:rPr>
        <w:instrText xml:space="preserve"> SEQ level0 \*arabic </w:instrText>
      </w:r>
      <w:r w:rsidRPr="007D6614">
        <w:rPr>
          <w:rFonts w:ascii="Times New Roman" w:eastAsia="Times New Roman" w:hAnsi="Times New Roman" w:cs="Times New Roman"/>
          <w:color w:val="000000"/>
          <w:sz w:val="24"/>
          <w:szCs w:val="24"/>
        </w:rPr>
        <w:fldChar w:fldCharType="separate"/>
      </w:r>
      <w:r w:rsidR="001302A1">
        <w:rPr>
          <w:rFonts w:ascii="Times New Roman" w:eastAsia="Times New Roman" w:hAnsi="Times New Roman" w:cs="Times New Roman"/>
          <w:noProof/>
          <w:color w:val="000000"/>
          <w:sz w:val="24"/>
          <w:szCs w:val="24"/>
        </w:rPr>
        <w:t>29</w:t>
      </w:r>
      <w:r w:rsidRPr="007D6614">
        <w:rPr>
          <w:rFonts w:ascii="Times New Roman" w:eastAsia="Times New Roman" w:hAnsi="Times New Roman" w:cs="Times New Roman"/>
          <w:color w:val="000000"/>
          <w:sz w:val="24"/>
          <w:szCs w:val="24"/>
        </w:rPr>
        <w:fldChar w:fldCharType="end"/>
      </w:r>
      <w:r w:rsidRPr="007D6614">
        <w:rPr>
          <w:rFonts w:ascii="Times New Roman" w:eastAsia="Times New Roman" w:hAnsi="Times New Roman" w:cs="Times New Roman"/>
          <w:color w:val="000000"/>
          <w:sz w:val="24"/>
          <w:szCs w:val="24"/>
        </w:rPr>
        <w:t>.  İkinci olarak, Büyük Daire, diğer tutuklu milletvekilleri aleyhindeki ceza yargılamasının içeriğine erişimi olmadığını kabul ederken, uluslararası gözlemcilerin raporları ve görüşleri ışığında, onları özgürlüklerinden mahrum etmenin temel nedeninin siyasi konuşmalarında yattığı ve bu bağlamda başvurucunun tutukluluğunun münferit bir dava olmadığı sonucuna varmıştır (kararın 428. paragrafına bakınız). Bu safhada, bu milletvekillerinin bazılarının davalarının şu anda Mahkememizde beklemekte olduğunun altını çizmeliyim. Dolayısıyla, naçizane görüşüme göre, çoğunluğun kabul ettiği mantık, Büyük Daire'den inceleme talep edilen hukuki sorunların ötesine geçiyor.</w:t>
      </w:r>
    </w:p>
    <w:p w:rsidR="007D6614" w:rsidRPr="007D6614" w:rsidRDefault="007D6614" w:rsidP="007D6614">
      <w:pPr>
        <w:spacing w:after="0" w:line="240" w:lineRule="auto"/>
        <w:ind w:firstLine="284"/>
        <w:jc w:val="both"/>
        <w:rPr>
          <w:rFonts w:ascii="Times New Roman" w:eastAsia="Times New Roman" w:hAnsi="Times New Roman" w:cs="Times New Roman"/>
          <w:color w:val="000000"/>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30</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Yukarıdaki hususlar ışığında, başvurucunun, Türkiye'nin tüm yargı mekanizmasının kendisi hakkında cezai soruşturma başlatarak siyasi gündeme uygun hareket ettiği iddiasını destekleyecek yeterli delil bulunmadığına inanıyorum. Çoğunluğun gerekçelendirme çizgisi, başvurucunun kendi görüşüne göre "aynı olgusal bağlam" a yani ilk tutukluluğun asıl nedenlerinin bir parçasını oluşturan 6-8 Ekim olaylarına dayanan ikinci tutukluluğuna bağlı olduğu için, aşağıdaki gözlemleri yapmak istiyorum (bakınız kararın 432-33 ve 440-42. paragrafları).</w:t>
      </w:r>
    </w:p>
    <w:p w:rsidR="007D6614" w:rsidRPr="007D6614" w:rsidRDefault="007D6614" w:rsidP="007D6614">
      <w:pPr>
        <w:spacing w:after="0" w:line="240" w:lineRule="auto"/>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31</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Bu konunun belirli yönlerini Sözleşme’nin 46. maddesi kapsamında ayrı görüşümde ele almış olsam da, önemi, bu analizin bir kısmının tekrarlanmasını hak etmektedir. İlk olarak, başvurucunun ikinci tutukluluğuna ilişkin hukuki ve olgusal soruların Anayasa Mahkemesi’ne yaptığı bireysel bir başvurunun konusu olduğunu tekrar belirtmeliyim; dolayısıyla bu konu şu anda yerel makamların önünde beklemektedir. İkinci olarak, mevcut davada çoğunluk,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i Sözleşme'nin 5. maddesiyle bağlantılı olarak 18. madde kapsamında değerlendirmiştir. Bununla birlikte, Sözleşme'nin 5. maddesi uyarınca, Büyük Daire'nin incelemesinin konusu, başvurucunun 20 Eylül 2019 tarihinde hükmedilen ve halen devam eden ikinci tutukluluğu değil, 4 Kasım 2016'dan 7 Aralık 2018'e kadar olan ilk tutukluluğuydu. Çoğunluğun yaklaşımı muhtemelen başvurucunun ikinci tutukluluğunun aslında ilk tutukluluğunun devamı olduğunu ima etse de, her iki tutuklama emrinin de aynı olgusal bağlama dayandığı düşünüldüğünde, Sözleşme’nin 46. maddesi kapsamında ayrı görüşümde belirttiğim nedenlerle ve ayrıca aşağıdaki nedenlerle bu görüşe katılamıyorum. Mahkeme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leri 18. madde kapsamında incelerken genel ve daha geniş bağlamın değerlendirilmesinde birincil gerçekler veya bağlamsal gerçekler veya olay dizileri hakkında bilgiler olan ikinci dereceden kanıtların dikkate alınabileceği doğrudur (bakınız </w:t>
      </w:r>
      <w:proofErr w:type="spellStart"/>
      <w:r w:rsidRPr="007D6614">
        <w:rPr>
          <w:rFonts w:ascii="Times New Roman" w:eastAsia="Times New Roman" w:hAnsi="Times New Roman" w:cs="Times New Roman"/>
          <w:i/>
          <w:iCs/>
          <w:sz w:val="24"/>
          <w:szCs w:val="24"/>
        </w:rPr>
        <w:t>Merabishvili</w:t>
      </w:r>
      <w:proofErr w:type="spellEnd"/>
      <w:r w:rsidRPr="007D6614">
        <w:rPr>
          <w:rFonts w:ascii="Times New Roman" w:eastAsia="Times New Roman" w:hAnsi="Times New Roman" w:cs="Times New Roman"/>
          <w:sz w:val="24"/>
          <w:szCs w:val="24"/>
        </w:rPr>
        <w:t xml:space="preserve">, yukarıda anılan, § 317). Ancak, ikinci dereceden delillerin başvurucuyla ilgili hukuki sorular </w:t>
      </w:r>
      <w:r w:rsidRPr="007D6614">
        <w:rPr>
          <w:rFonts w:ascii="Times New Roman" w:eastAsia="Times New Roman" w:hAnsi="Times New Roman" w:cs="Times New Roman"/>
          <w:sz w:val="24"/>
          <w:szCs w:val="24"/>
        </w:rPr>
        <w:lastRenderedPageBreak/>
        <w:t xml:space="preserve">biçimini aldığı durumlarda, Mahkeme'nin yaklaşımı farklı olabilir. </w:t>
      </w:r>
      <w:proofErr w:type="gramStart"/>
      <w:r w:rsidRPr="007D6614">
        <w:rPr>
          <w:rFonts w:ascii="Times New Roman" w:eastAsia="Times New Roman" w:hAnsi="Times New Roman" w:cs="Times New Roman"/>
          <w:sz w:val="24"/>
          <w:szCs w:val="24"/>
        </w:rPr>
        <w:t>Nitekim,</w:t>
      </w:r>
      <w:proofErr w:type="gramEnd"/>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i/>
          <w:iCs/>
          <w:sz w:val="24"/>
          <w:szCs w:val="24"/>
        </w:rPr>
        <w:t>Navalnyy</w:t>
      </w:r>
      <w:proofErr w:type="spellEnd"/>
      <w:r w:rsidRPr="007D6614">
        <w:rPr>
          <w:rFonts w:ascii="Times New Roman" w:eastAsia="Times New Roman" w:hAnsi="Times New Roman" w:cs="Times New Roman"/>
          <w:i/>
          <w:iCs/>
          <w:sz w:val="24"/>
          <w:szCs w:val="24"/>
        </w:rPr>
        <w:t xml:space="preserve"> v. Rusya</w:t>
      </w:r>
      <w:r w:rsidRPr="007D6614">
        <w:rPr>
          <w:rFonts w:ascii="Times New Roman" w:eastAsia="Times New Roman" w:hAnsi="Times New Roman" w:cs="Times New Roman"/>
          <w:sz w:val="24"/>
          <w:szCs w:val="24"/>
        </w:rPr>
        <w:t xml:space="preserve"> davasında ([BD],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29580/12 ve diğer 4’ü, § 171, 15 Kasım 2018), Mahkeme, ilgili olguları tespit ettiği ve bu iki yargılamada ortaya çıkan hukuki sorunlara ilişkin karar verdiği önceki kararlara atıfta bulunarak, 18. madde kapsamında (davanın genel bağlamına ilişkin olarak) başvurucu aleyhine yapılan ceza yargılamalarıyla eşzamanlı olan iki ceza yargılamasını dikkate almıştır (</w:t>
      </w:r>
      <w:proofErr w:type="spellStart"/>
      <w:r w:rsidRPr="007D6614">
        <w:rPr>
          <w:rFonts w:ascii="Times New Roman" w:eastAsia="Times New Roman" w:hAnsi="Times New Roman" w:cs="Times New Roman"/>
          <w:i/>
          <w:iCs/>
          <w:sz w:val="24"/>
          <w:szCs w:val="24"/>
        </w:rPr>
        <w:t>Navalnyy</w:t>
      </w:r>
      <w:proofErr w:type="spellEnd"/>
      <w:r w:rsidRPr="007D6614">
        <w:rPr>
          <w:rFonts w:ascii="Times New Roman" w:eastAsia="Times New Roman" w:hAnsi="Times New Roman" w:cs="Times New Roman"/>
          <w:i/>
          <w:iCs/>
          <w:sz w:val="24"/>
          <w:szCs w:val="24"/>
        </w:rPr>
        <w:t xml:space="preserve"> ve </w:t>
      </w:r>
      <w:proofErr w:type="spellStart"/>
      <w:r w:rsidRPr="007D6614">
        <w:rPr>
          <w:rFonts w:ascii="Times New Roman" w:eastAsia="Times New Roman" w:hAnsi="Times New Roman" w:cs="Times New Roman"/>
          <w:i/>
          <w:iCs/>
          <w:sz w:val="24"/>
          <w:szCs w:val="24"/>
        </w:rPr>
        <w:t>Ofitserov</w:t>
      </w:r>
      <w:proofErr w:type="spellEnd"/>
      <w:r w:rsidRPr="007D6614">
        <w:rPr>
          <w:rFonts w:ascii="Times New Roman" w:eastAsia="Times New Roman" w:hAnsi="Times New Roman" w:cs="Times New Roman"/>
          <w:i/>
          <w:iCs/>
          <w:sz w:val="24"/>
          <w:szCs w:val="24"/>
        </w:rPr>
        <w:t xml:space="preserve"> v. Rusya</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xml:space="preserve">. 46632/13 ve 28671/14, §§ 116-19, 23 Şubat 2016 ve </w:t>
      </w:r>
      <w:proofErr w:type="spellStart"/>
      <w:r w:rsidRPr="007D6614">
        <w:rPr>
          <w:rFonts w:ascii="Times New Roman" w:eastAsia="Times New Roman" w:hAnsi="Times New Roman" w:cs="Times New Roman"/>
          <w:i/>
          <w:iCs/>
          <w:sz w:val="24"/>
          <w:szCs w:val="24"/>
        </w:rPr>
        <w:t>Navalnyye</w:t>
      </w:r>
      <w:proofErr w:type="spellEnd"/>
      <w:r w:rsidRPr="007D6614">
        <w:rPr>
          <w:rFonts w:ascii="Times New Roman" w:eastAsia="Times New Roman" w:hAnsi="Times New Roman" w:cs="Times New Roman"/>
          <w:i/>
          <w:iCs/>
          <w:sz w:val="24"/>
          <w:szCs w:val="24"/>
        </w:rPr>
        <w:t xml:space="preserve"> v. Rusya</w:t>
      </w:r>
      <w:r w:rsidRPr="007D6614">
        <w:rPr>
          <w:rFonts w:ascii="Times New Roman" w:eastAsia="Times New Roman" w:hAnsi="Times New Roman" w:cs="Times New Roman"/>
          <w:sz w:val="24"/>
          <w:szCs w:val="24"/>
        </w:rPr>
        <w:t xml:space="preserve">, </w:t>
      </w:r>
      <w:proofErr w:type="spellStart"/>
      <w:r w:rsidRPr="007D6614">
        <w:rPr>
          <w:rFonts w:ascii="Times New Roman" w:eastAsia="Times New Roman" w:hAnsi="Times New Roman" w:cs="Times New Roman"/>
          <w:sz w:val="24"/>
          <w:szCs w:val="24"/>
        </w:rPr>
        <w:t>no</w:t>
      </w:r>
      <w:proofErr w:type="spellEnd"/>
      <w:r w:rsidRPr="007D6614">
        <w:rPr>
          <w:rFonts w:ascii="Times New Roman" w:eastAsia="Times New Roman" w:hAnsi="Times New Roman" w:cs="Times New Roman"/>
          <w:sz w:val="24"/>
          <w:szCs w:val="24"/>
        </w:rPr>
        <w:t>. 101/15, §§ 83-84 17 Ekim 2017’ye atıfta bulunulmuştur).</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r w:rsidRPr="007D6614">
        <w:rPr>
          <w:rFonts w:ascii="Times New Roman" w:eastAsia="Times New Roman" w:hAnsi="Times New Roman" w:cs="Times New Roman"/>
          <w:sz w:val="24"/>
          <w:szCs w:val="24"/>
        </w:rPr>
        <w:fldChar w:fldCharType="begin"/>
      </w:r>
      <w:r w:rsidRPr="007D6614">
        <w:rPr>
          <w:rFonts w:ascii="Times New Roman" w:eastAsia="Times New Roman" w:hAnsi="Times New Roman" w:cs="Times New Roman"/>
          <w:sz w:val="24"/>
          <w:szCs w:val="24"/>
        </w:rPr>
        <w:instrText xml:space="preserve"> SEQ level0 \*arabic </w:instrText>
      </w:r>
      <w:r w:rsidRPr="007D6614">
        <w:rPr>
          <w:rFonts w:ascii="Times New Roman" w:eastAsia="Times New Roman" w:hAnsi="Times New Roman" w:cs="Times New Roman"/>
          <w:sz w:val="24"/>
          <w:szCs w:val="24"/>
        </w:rPr>
        <w:fldChar w:fldCharType="separate"/>
      </w:r>
      <w:r w:rsidR="001302A1">
        <w:rPr>
          <w:rFonts w:ascii="Times New Roman" w:eastAsia="Times New Roman" w:hAnsi="Times New Roman" w:cs="Times New Roman"/>
          <w:noProof/>
          <w:sz w:val="24"/>
          <w:szCs w:val="24"/>
        </w:rPr>
        <w:t>32</w:t>
      </w:r>
      <w:r w:rsidRPr="007D6614">
        <w:rPr>
          <w:rFonts w:ascii="Times New Roman" w:eastAsia="Times New Roman" w:hAnsi="Times New Roman" w:cs="Times New Roman"/>
          <w:sz w:val="24"/>
          <w:szCs w:val="24"/>
        </w:rPr>
        <w:fldChar w:fldCharType="end"/>
      </w:r>
      <w:r w:rsidRPr="007D6614">
        <w:rPr>
          <w:rFonts w:ascii="Times New Roman" w:eastAsia="Times New Roman" w:hAnsi="Times New Roman" w:cs="Times New Roman"/>
          <w:sz w:val="24"/>
          <w:szCs w:val="24"/>
        </w:rPr>
        <w:t xml:space="preserve">.  Yukarıdakilerin ışığında, başvurucunun mevcut davadaki ikinci tutukluluğu, benim bakış açıma göre, yalnızca ikinci derecede kanıt değildir; bu, yerel mahkemelerde bekleyen hukuki bir sorundur ve Mahkeme'nin 18. madde kapsamındaki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 xml:space="preserve">in incelendiği 5. madde kapsamındaki incelemesinin bir parçasını oluşturmaz. Bu koşullar altında, çoğunluğun yaklaşımı, Büyük Daire önündeki davanın kapsamını daha önce görülmemiş bir şekilde genişletme riskine girebilir ve bu görüşü kabul etmekte tereddüt ediyorum. </w:t>
      </w:r>
      <w:proofErr w:type="gramStart"/>
      <w:r w:rsidRPr="007D6614">
        <w:rPr>
          <w:rFonts w:ascii="Times New Roman" w:eastAsia="Times New Roman" w:hAnsi="Times New Roman" w:cs="Times New Roman"/>
          <w:sz w:val="24"/>
          <w:szCs w:val="24"/>
        </w:rPr>
        <w:t xml:space="preserve">Böylesi yeni bir yaklaşıma ek olarak, çoğunluk, başvurucunun 5. madde kapsamında olmayan (ikinci tutukluluk, söz konusu madde kapsamındaki inceleme kapsamına girmemesi nedeniyle) ikinci tutukluluğunun gerekçelerini Sözleşme'nin 18. maddesi uyarınca da incelemeye devam etmiştir ve “...yerel makamların başvurucunun beş yıl önce, 6-8 Ekim 2014 tarihlerinde iddia </w:t>
      </w:r>
      <w:proofErr w:type="spellStart"/>
      <w:r w:rsidRPr="007D6614">
        <w:rPr>
          <w:rFonts w:ascii="Times New Roman" w:eastAsia="Times New Roman" w:hAnsi="Times New Roman" w:cs="Times New Roman"/>
          <w:sz w:val="24"/>
          <w:szCs w:val="24"/>
        </w:rPr>
        <w:t>edien</w:t>
      </w:r>
      <w:proofErr w:type="spellEnd"/>
      <w:r w:rsidRPr="007D6614">
        <w:rPr>
          <w:rFonts w:ascii="Times New Roman" w:eastAsia="Times New Roman" w:hAnsi="Times New Roman" w:cs="Times New Roman"/>
          <w:sz w:val="24"/>
          <w:szCs w:val="24"/>
        </w:rPr>
        <w:t xml:space="preserve"> suçları işlediği şüphesiyle ilgileniyor görünmedikleri, onun yerine başvurucuyu cezaevinde tutarak siyasi faaliyetlerde bulunmasını engelledikleri” sonucuna varmıştır (bakınız kararın 433. paragrafı). </w:t>
      </w:r>
      <w:proofErr w:type="gramEnd"/>
      <w:r w:rsidRPr="007D6614">
        <w:rPr>
          <w:rFonts w:ascii="Times New Roman" w:eastAsia="Times New Roman" w:hAnsi="Times New Roman" w:cs="Times New Roman"/>
          <w:sz w:val="24"/>
          <w:szCs w:val="24"/>
        </w:rPr>
        <w:t xml:space="preserve">Tüm saygımla, yerel mahkemelerde bekleyen ve 5. madde kapsamındaki </w:t>
      </w:r>
      <w:r w:rsidR="00DA1D16">
        <w:rPr>
          <w:rFonts w:ascii="Times New Roman" w:eastAsia="Times New Roman" w:hAnsi="Times New Roman" w:cs="Times New Roman"/>
          <w:sz w:val="24"/>
          <w:szCs w:val="24"/>
        </w:rPr>
        <w:t>şikâyet</w:t>
      </w:r>
      <w:r w:rsidRPr="007D6614">
        <w:rPr>
          <w:rFonts w:ascii="Times New Roman" w:eastAsia="Times New Roman" w:hAnsi="Times New Roman" w:cs="Times New Roman"/>
          <w:sz w:val="24"/>
          <w:szCs w:val="24"/>
        </w:rPr>
        <w:t>te yer almayan bir hukuki sorundan kaynaklanan bu bulgunun bu ilkeye uygun olup olmadığı konusunda şüphelerimi sürdürüyorum. Mahkeme, kararını hukuki anlamda kanıta dayandırmalıdır. Bu nedenle, ne çoğunluğun yaklaşımını ne de sonucunu kabul ediyorum.</w:t>
      </w:r>
    </w:p>
    <w:p w:rsidR="007D6614" w:rsidRPr="007D6614" w:rsidRDefault="007D6614" w:rsidP="007D6614">
      <w:pPr>
        <w:spacing w:after="0" w:line="240" w:lineRule="auto"/>
        <w:ind w:firstLine="284"/>
        <w:jc w:val="both"/>
        <w:rPr>
          <w:rFonts w:ascii="Times New Roman" w:eastAsia="Times New Roman" w:hAnsi="Times New Roman" w:cs="Times New Roman"/>
          <w:sz w:val="24"/>
          <w:szCs w:val="24"/>
        </w:rPr>
      </w:pPr>
    </w:p>
    <w:p w:rsidR="007D6614" w:rsidRPr="007D6614" w:rsidRDefault="007D6614" w:rsidP="007D6614">
      <w:pPr>
        <w:spacing w:after="0" w:line="240" w:lineRule="auto"/>
        <w:ind w:firstLine="284"/>
        <w:jc w:val="both"/>
        <w:rPr>
          <w:rFonts w:ascii="Times New Roman" w:eastAsia="Times New Roman" w:hAnsi="Times New Roman" w:cs="Times New Roman"/>
          <w:snapToGrid w:val="0"/>
          <w:sz w:val="24"/>
          <w:szCs w:val="24"/>
        </w:rPr>
      </w:pPr>
      <w:r w:rsidRPr="007D6614">
        <w:rPr>
          <w:rFonts w:ascii="Times New Roman" w:eastAsia="Times New Roman" w:hAnsi="Times New Roman" w:cs="Times New Roman"/>
          <w:snapToGrid w:val="0"/>
          <w:sz w:val="24"/>
          <w:szCs w:val="24"/>
        </w:rPr>
        <w:fldChar w:fldCharType="begin"/>
      </w:r>
      <w:r w:rsidRPr="007D6614">
        <w:rPr>
          <w:rFonts w:ascii="Times New Roman" w:eastAsia="Times New Roman" w:hAnsi="Times New Roman" w:cs="Times New Roman"/>
          <w:snapToGrid w:val="0"/>
          <w:sz w:val="24"/>
          <w:szCs w:val="24"/>
        </w:rPr>
        <w:instrText xml:space="preserve"> SEQ level0 \*arabic </w:instrText>
      </w:r>
      <w:r w:rsidRPr="007D6614">
        <w:rPr>
          <w:rFonts w:ascii="Times New Roman" w:eastAsia="Times New Roman" w:hAnsi="Times New Roman" w:cs="Times New Roman"/>
          <w:snapToGrid w:val="0"/>
          <w:sz w:val="24"/>
          <w:szCs w:val="24"/>
        </w:rPr>
        <w:fldChar w:fldCharType="separate"/>
      </w:r>
      <w:r w:rsidR="001302A1">
        <w:rPr>
          <w:rFonts w:ascii="Times New Roman" w:eastAsia="Times New Roman" w:hAnsi="Times New Roman" w:cs="Times New Roman"/>
          <w:noProof/>
          <w:snapToGrid w:val="0"/>
          <w:sz w:val="24"/>
          <w:szCs w:val="24"/>
        </w:rPr>
        <w:t>33</w:t>
      </w:r>
      <w:r w:rsidRPr="007D6614">
        <w:rPr>
          <w:rFonts w:ascii="Times New Roman" w:eastAsia="Times New Roman" w:hAnsi="Times New Roman" w:cs="Times New Roman"/>
          <w:snapToGrid w:val="0"/>
          <w:sz w:val="24"/>
          <w:szCs w:val="24"/>
        </w:rPr>
        <w:fldChar w:fldCharType="end"/>
      </w:r>
      <w:r w:rsidRPr="007D6614">
        <w:rPr>
          <w:rFonts w:ascii="Times New Roman" w:eastAsia="Times New Roman" w:hAnsi="Times New Roman" w:cs="Times New Roman"/>
          <w:snapToGrid w:val="0"/>
          <w:sz w:val="24"/>
          <w:szCs w:val="24"/>
        </w:rPr>
        <w:t>.  </w:t>
      </w:r>
      <w:r w:rsidRPr="007D6614">
        <w:rPr>
          <w:rFonts w:ascii="Times New Roman" w:eastAsia="Times New Roman" w:hAnsi="Times New Roman" w:cs="Microsoft Himalaya"/>
          <w:sz w:val="24"/>
          <w:szCs w:val="24"/>
        </w:rPr>
        <w:t>Yukarıda belirtilen nedenlerden dolayı, mevcut davada Sözleşme'nin 5. maddesiyle bağlantılı olarak 18. maddesinin ihlal edilmediğine inanıyorum.</w:t>
      </w:r>
    </w:p>
    <w:p w:rsidR="007D6614" w:rsidRPr="0089710C" w:rsidRDefault="007D6614" w:rsidP="006556E2">
      <w:pPr>
        <w:pStyle w:val="s8042dbaf"/>
        <w:shd w:val="clear" w:color="auto" w:fill="FFFFFF"/>
        <w:spacing w:before="120" w:beforeAutospacing="0" w:after="0" w:afterAutospacing="0" w:line="276" w:lineRule="auto"/>
        <w:jc w:val="both"/>
      </w:pPr>
    </w:p>
    <w:sectPr w:rsidR="007D6614" w:rsidRPr="0089710C" w:rsidSect="007D6614">
      <w:headerReference w:type="default" r:id="rId14"/>
      <w:type w:val="continuous"/>
      <w:pgSz w:w="11906" w:h="16838"/>
      <w:pgMar w:top="2274" w:right="2274" w:bottom="2274" w:left="22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FE" w:rsidRDefault="00D479FE" w:rsidP="00EA20F2">
      <w:pPr>
        <w:spacing w:after="0" w:line="240" w:lineRule="auto"/>
      </w:pPr>
      <w:r>
        <w:separator/>
      </w:r>
    </w:p>
  </w:endnote>
  <w:endnote w:type="continuationSeparator" w:id="0">
    <w:p w:rsidR="00D479FE" w:rsidRDefault="00D479FE" w:rsidP="00EA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A2"/>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16" w:rsidRPr="00150BFA" w:rsidRDefault="00DA1D16" w:rsidP="00D00DC6">
    <w:pPr>
      <w:jc w:val="center"/>
    </w:pPr>
    <w:r>
      <w:rPr>
        <w:noProof/>
        <w:lang w:eastAsia="tr-TR"/>
      </w:rPr>
      <w:drawing>
        <wp:inline distT="0" distB="0" distL="0" distR="0" wp14:anchorId="7B0ED551" wp14:editId="031A7DAA">
          <wp:extent cx="771525" cy="619125"/>
          <wp:effectExtent l="0" t="0" r="9525" b="9525"/>
          <wp:docPr id="1" name="Picture 14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A1D16" w:rsidRPr="009E7A6F" w:rsidRDefault="00DA1D16" w:rsidP="00D00DC6">
    <w:pPr>
      <w:pStyle w:val="AltBilgi"/>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16" w:rsidRPr="00150BFA" w:rsidRDefault="00DA1D16" w:rsidP="00D00DC6">
    <w:pPr>
      <w:jc w:val="center"/>
    </w:pPr>
  </w:p>
  <w:p w:rsidR="00DA1D16" w:rsidRPr="009E7A6F" w:rsidRDefault="00DA1D16" w:rsidP="00D00DC6">
    <w:pPr>
      <w:pStyle w:val="AltBilgi"/>
      <w:jc w:val="cen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FE" w:rsidRDefault="00D479FE" w:rsidP="00EA20F2">
      <w:pPr>
        <w:spacing w:after="0" w:line="240" w:lineRule="auto"/>
      </w:pPr>
      <w:r>
        <w:separator/>
      </w:r>
    </w:p>
  </w:footnote>
  <w:footnote w:type="continuationSeparator" w:id="0">
    <w:p w:rsidR="00D479FE" w:rsidRDefault="00D479FE" w:rsidP="00EA20F2">
      <w:pPr>
        <w:spacing w:after="0" w:line="240" w:lineRule="auto"/>
      </w:pPr>
      <w:r>
        <w:continuationSeparator/>
      </w:r>
    </w:p>
  </w:footnote>
  <w:footnote w:id="1">
    <w:p w:rsidR="00DA1D16" w:rsidRPr="00EE64CC" w:rsidRDefault="00DA1D16" w:rsidP="007D6614">
      <w:pPr>
        <w:pStyle w:val="DipnotMetni"/>
        <w:jc w:val="both"/>
        <w:rPr>
          <w:lang w:val="tr-TR"/>
        </w:rPr>
      </w:pPr>
      <w:r>
        <w:rPr>
          <w:rStyle w:val="DipnotBavurusu"/>
        </w:rPr>
        <w:footnoteRef/>
      </w:r>
      <w:r>
        <w:t xml:space="preserve"> </w:t>
      </w:r>
      <w:r>
        <w:rPr>
          <w:lang w:val="tr-TR"/>
        </w:rPr>
        <w:t xml:space="preserve">Anayasa’nın 83. maddesinin 1.fıkrası: </w:t>
      </w:r>
      <w:r w:rsidRPr="00EE64CC">
        <w:rPr>
          <w:i/>
          <w:iCs/>
          <w:lang w:val="tr-TR"/>
        </w:rPr>
        <w:t>“Türkiye Büyük Millet Meclisi üyeleri, Meclis çalışmalarındaki oy ve sözlerinden, Mecliste ileri sürdükleri düşüncelerden, o oturumdaki Başkanlık Divanının teklifi üzerine Meclisçe başka bir karar alınmadıkça bunları Meclis dışında tekrarlamak ve açığa vurmaktan sorumlu tutulamazlar.”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16" w:rsidRPr="00431FCA" w:rsidRDefault="00DA1D16" w:rsidP="00D00DC6">
    <w:pPr>
      <w:jc w:val="center"/>
      <w:rPr>
        <w:rFonts w:ascii="Times New Roman" w:hAnsi="Times New Roman" w:cs="Times New Roman"/>
        <w:b/>
      </w:rPr>
    </w:pPr>
    <w:r w:rsidRPr="00431FCA">
      <w:rPr>
        <w:rFonts w:ascii="Times New Roman" w:hAnsi="Times New Roman" w:cs="Times New Roman"/>
        <w:b/>
        <w:sz w:val="18"/>
        <w:szCs w:val="18"/>
      </w:rPr>
      <w:t>SELAHATTİN DEMİRTAŞ v. TÜRKİYE (No. 2) KARARI</w:t>
    </w:r>
  </w:p>
  <w:p w:rsidR="00DA1D16" w:rsidRPr="00431FCA" w:rsidRDefault="00DA1D16" w:rsidP="00D00DC6">
    <w:pPr>
      <w:jc w:val="center"/>
      <w:rPr>
        <w:rFonts w:ascii="Times New Roman" w:hAnsi="Times New Roman" w:cs="Times New Roman"/>
        <w:b/>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16" w:rsidRPr="00A45145" w:rsidRDefault="00DA1D16" w:rsidP="00D00DC6">
    <w:pPr>
      <w:jc w:val="center"/>
    </w:pPr>
  </w:p>
  <w:p w:rsidR="00DA1D16" w:rsidRPr="009E7A6F" w:rsidRDefault="00DA1D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16" w:rsidRPr="00431FCA" w:rsidRDefault="00DA1D16" w:rsidP="00D00DC6">
    <w:pPr>
      <w:jc w:val="center"/>
      <w:rPr>
        <w:rFonts w:ascii="Times New Roman" w:hAnsi="Times New Roman" w:cs="Times New Roman"/>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eNumaras"/>
      <w:lvlText w:val="%1."/>
      <w:lvlJc w:val="left"/>
      <w:pPr>
        <w:tabs>
          <w:tab w:val="num" w:pos="360"/>
        </w:tabs>
        <w:ind w:left="360" w:hanging="360"/>
      </w:pPr>
    </w:lvl>
  </w:abstractNum>
  <w:abstractNum w:abstractNumId="9" w15:restartNumberingAfterBreak="0">
    <w:nsid w:val="01A828A8"/>
    <w:multiLevelType w:val="hybridMultilevel"/>
    <w:tmpl w:val="63D41206"/>
    <w:lvl w:ilvl="0" w:tplc="8ED63C2A">
      <w:start w:val="2"/>
      <w:numFmt w:val="decimal"/>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10" w15:restartNumberingAfterBreak="0">
    <w:nsid w:val="048F2261"/>
    <w:multiLevelType w:val="multilevel"/>
    <w:tmpl w:val="C8FE6436"/>
    <w:numStyleLink w:val="ECHRA1StyleList"/>
  </w:abstractNum>
  <w:abstractNum w:abstractNumId="11" w15:restartNumberingAfterBreak="0">
    <w:nsid w:val="05DF63FF"/>
    <w:multiLevelType w:val="hybridMultilevel"/>
    <w:tmpl w:val="EA7AD9CA"/>
    <w:lvl w:ilvl="0" w:tplc="DEE0BDB4">
      <w:start w:val="1"/>
      <w:numFmt w:val="bullet"/>
      <w:lvlText w:val=""/>
      <w:lvlJc w:val="left"/>
      <w:pPr>
        <w:ind w:left="1004" w:hanging="360"/>
      </w:pPr>
      <w:rPr>
        <w:rFonts w:ascii="Symbol" w:hAnsi="Symbol" w:hint="default"/>
      </w:rPr>
    </w:lvl>
    <w:lvl w:ilvl="1" w:tplc="54B062C4" w:tentative="1">
      <w:start w:val="1"/>
      <w:numFmt w:val="bullet"/>
      <w:lvlText w:val="o"/>
      <w:lvlJc w:val="left"/>
      <w:pPr>
        <w:ind w:left="1724" w:hanging="360"/>
      </w:pPr>
      <w:rPr>
        <w:rFonts w:ascii="Courier New" w:hAnsi="Courier New" w:cs="Courier New" w:hint="default"/>
      </w:rPr>
    </w:lvl>
    <w:lvl w:ilvl="2" w:tplc="95462D08" w:tentative="1">
      <w:start w:val="1"/>
      <w:numFmt w:val="bullet"/>
      <w:lvlText w:val=""/>
      <w:lvlJc w:val="left"/>
      <w:pPr>
        <w:ind w:left="2444" w:hanging="360"/>
      </w:pPr>
      <w:rPr>
        <w:rFonts w:ascii="Wingdings" w:hAnsi="Wingdings" w:hint="default"/>
      </w:rPr>
    </w:lvl>
    <w:lvl w:ilvl="3" w:tplc="CFE63512" w:tentative="1">
      <w:start w:val="1"/>
      <w:numFmt w:val="bullet"/>
      <w:lvlText w:val=""/>
      <w:lvlJc w:val="left"/>
      <w:pPr>
        <w:ind w:left="3164" w:hanging="360"/>
      </w:pPr>
      <w:rPr>
        <w:rFonts w:ascii="Symbol" w:hAnsi="Symbol" w:hint="default"/>
      </w:rPr>
    </w:lvl>
    <w:lvl w:ilvl="4" w:tplc="6E3C8ECE" w:tentative="1">
      <w:start w:val="1"/>
      <w:numFmt w:val="bullet"/>
      <w:lvlText w:val="o"/>
      <w:lvlJc w:val="left"/>
      <w:pPr>
        <w:ind w:left="3884" w:hanging="360"/>
      </w:pPr>
      <w:rPr>
        <w:rFonts w:ascii="Courier New" w:hAnsi="Courier New" w:cs="Courier New" w:hint="default"/>
      </w:rPr>
    </w:lvl>
    <w:lvl w:ilvl="5" w:tplc="EC727F16" w:tentative="1">
      <w:start w:val="1"/>
      <w:numFmt w:val="bullet"/>
      <w:lvlText w:val=""/>
      <w:lvlJc w:val="left"/>
      <w:pPr>
        <w:ind w:left="4604" w:hanging="360"/>
      </w:pPr>
      <w:rPr>
        <w:rFonts w:ascii="Wingdings" w:hAnsi="Wingdings" w:hint="default"/>
      </w:rPr>
    </w:lvl>
    <w:lvl w:ilvl="6" w:tplc="EE249660" w:tentative="1">
      <w:start w:val="1"/>
      <w:numFmt w:val="bullet"/>
      <w:lvlText w:val=""/>
      <w:lvlJc w:val="left"/>
      <w:pPr>
        <w:ind w:left="5324" w:hanging="360"/>
      </w:pPr>
      <w:rPr>
        <w:rFonts w:ascii="Symbol" w:hAnsi="Symbol" w:hint="default"/>
      </w:rPr>
    </w:lvl>
    <w:lvl w:ilvl="7" w:tplc="5524A9D8" w:tentative="1">
      <w:start w:val="1"/>
      <w:numFmt w:val="bullet"/>
      <w:lvlText w:val="o"/>
      <w:lvlJc w:val="left"/>
      <w:pPr>
        <w:ind w:left="6044" w:hanging="360"/>
      </w:pPr>
      <w:rPr>
        <w:rFonts w:ascii="Courier New" w:hAnsi="Courier New" w:cs="Courier New" w:hint="default"/>
      </w:rPr>
    </w:lvl>
    <w:lvl w:ilvl="8" w:tplc="3A1461C2" w:tentative="1">
      <w:start w:val="1"/>
      <w:numFmt w:val="bullet"/>
      <w:lvlText w:val=""/>
      <w:lvlJc w:val="left"/>
      <w:pPr>
        <w:ind w:left="6764" w:hanging="360"/>
      </w:pPr>
      <w:rPr>
        <w:rFonts w:ascii="Wingdings" w:hAnsi="Wingdings" w:hint="default"/>
      </w:rPr>
    </w:lvl>
  </w:abstractNum>
  <w:abstractNum w:abstractNumId="12" w15:restartNumberingAfterBreak="0">
    <w:nsid w:val="0951245F"/>
    <w:multiLevelType w:val="multilevel"/>
    <w:tmpl w:val="082027CC"/>
    <w:lvl w:ilvl="0">
      <w:start w:val="3"/>
      <w:numFmt w:val="upperLetter"/>
      <w:lvlText w:val="%1."/>
      <w:lvlJc w:val="left"/>
      <w:pPr>
        <w:tabs>
          <w:tab w:val="num" w:pos="720"/>
        </w:tabs>
        <w:ind w:left="720" w:hanging="360"/>
      </w:pPr>
    </w:lvl>
    <w:lvl w:ilvl="1">
      <w:start w:val="341"/>
      <w:numFmt w:val="decimal"/>
      <w:lvlText w:val="%2."/>
      <w:lvlJc w:val="left"/>
      <w:pPr>
        <w:ind w:left="1548" w:hanging="468"/>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4" w15:restartNumberingAfterBreak="0">
    <w:nsid w:val="107475FD"/>
    <w:multiLevelType w:val="hybridMultilevel"/>
    <w:tmpl w:val="AECE8E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30A0E45"/>
    <w:multiLevelType w:val="hybridMultilevel"/>
    <w:tmpl w:val="537E90CC"/>
    <w:lvl w:ilvl="0" w:tplc="A54A90D0">
      <w:start w:val="1"/>
      <w:numFmt w:val="bullet"/>
      <w:lvlText w:val=""/>
      <w:lvlJc w:val="left"/>
      <w:pPr>
        <w:ind w:left="1287" w:hanging="360"/>
      </w:pPr>
      <w:rPr>
        <w:rFonts w:ascii="Symbol" w:hAnsi="Symbol" w:hint="default"/>
      </w:rPr>
    </w:lvl>
    <w:lvl w:ilvl="1" w:tplc="0ABE7612" w:tentative="1">
      <w:start w:val="1"/>
      <w:numFmt w:val="bullet"/>
      <w:lvlText w:val="o"/>
      <w:lvlJc w:val="left"/>
      <w:pPr>
        <w:ind w:left="2007" w:hanging="360"/>
      </w:pPr>
      <w:rPr>
        <w:rFonts w:ascii="Courier New" w:hAnsi="Courier New" w:cs="Courier New" w:hint="default"/>
      </w:rPr>
    </w:lvl>
    <w:lvl w:ilvl="2" w:tplc="12103DA4" w:tentative="1">
      <w:start w:val="1"/>
      <w:numFmt w:val="bullet"/>
      <w:lvlText w:val=""/>
      <w:lvlJc w:val="left"/>
      <w:pPr>
        <w:ind w:left="2727" w:hanging="360"/>
      </w:pPr>
      <w:rPr>
        <w:rFonts w:ascii="Wingdings" w:hAnsi="Wingdings" w:hint="default"/>
      </w:rPr>
    </w:lvl>
    <w:lvl w:ilvl="3" w:tplc="44CA45F6" w:tentative="1">
      <w:start w:val="1"/>
      <w:numFmt w:val="bullet"/>
      <w:lvlText w:val=""/>
      <w:lvlJc w:val="left"/>
      <w:pPr>
        <w:ind w:left="3447" w:hanging="360"/>
      </w:pPr>
      <w:rPr>
        <w:rFonts w:ascii="Symbol" w:hAnsi="Symbol" w:hint="default"/>
      </w:rPr>
    </w:lvl>
    <w:lvl w:ilvl="4" w:tplc="42E22A36" w:tentative="1">
      <w:start w:val="1"/>
      <w:numFmt w:val="bullet"/>
      <w:lvlText w:val="o"/>
      <w:lvlJc w:val="left"/>
      <w:pPr>
        <w:ind w:left="4167" w:hanging="360"/>
      </w:pPr>
      <w:rPr>
        <w:rFonts w:ascii="Courier New" w:hAnsi="Courier New" w:cs="Courier New" w:hint="default"/>
      </w:rPr>
    </w:lvl>
    <w:lvl w:ilvl="5" w:tplc="D74AC2DA" w:tentative="1">
      <w:start w:val="1"/>
      <w:numFmt w:val="bullet"/>
      <w:lvlText w:val=""/>
      <w:lvlJc w:val="left"/>
      <w:pPr>
        <w:ind w:left="4887" w:hanging="360"/>
      </w:pPr>
      <w:rPr>
        <w:rFonts w:ascii="Wingdings" w:hAnsi="Wingdings" w:hint="default"/>
      </w:rPr>
    </w:lvl>
    <w:lvl w:ilvl="6" w:tplc="DFAC5C4A" w:tentative="1">
      <w:start w:val="1"/>
      <w:numFmt w:val="bullet"/>
      <w:lvlText w:val=""/>
      <w:lvlJc w:val="left"/>
      <w:pPr>
        <w:ind w:left="5607" w:hanging="360"/>
      </w:pPr>
      <w:rPr>
        <w:rFonts w:ascii="Symbol" w:hAnsi="Symbol" w:hint="default"/>
      </w:rPr>
    </w:lvl>
    <w:lvl w:ilvl="7" w:tplc="06AEA3C6" w:tentative="1">
      <w:start w:val="1"/>
      <w:numFmt w:val="bullet"/>
      <w:lvlText w:val="o"/>
      <w:lvlJc w:val="left"/>
      <w:pPr>
        <w:ind w:left="6327" w:hanging="360"/>
      </w:pPr>
      <w:rPr>
        <w:rFonts w:ascii="Courier New" w:hAnsi="Courier New" w:cs="Courier New" w:hint="default"/>
      </w:rPr>
    </w:lvl>
    <w:lvl w:ilvl="8" w:tplc="6C964A18" w:tentative="1">
      <w:start w:val="1"/>
      <w:numFmt w:val="bullet"/>
      <w:lvlText w:val=""/>
      <w:lvlJc w:val="left"/>
      <w:pPr>
        <w:ind w:left="7047" w:hanging="360"/>
      </w:pPr>
      <w:rPr>
        <w:rFonts w:ascii="Wingdings" w:hAnsi="Wingdings" w:hint="default"/>
      </w:rPr>
    </w:lvl>
  </w:abstractNum>
  <w:abstractNum w:abstractNumId="16" w15:restartNumberingAfterBreak="0">
    <w:nsid w:val="14454467"/>
    <w:multiLevelType w:val="hybridMultilevel"/>
    <w:tmpl w:val="DCC28528"/>
    <w:lvl w:ilvl="0" w:tplc="E4BEF104">
      <w:start w:val="1"/>
      <w:numFmt w:val="lowerLetter"/>
      <w:pStyle w:val="Balk3"/>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7" w15:restartNumberingAfterBreak="0">
    <w:nsid w:val="1AA96CEA"/>
    <w:multiLevelType w:val="multilevel"/>
    <w:tmpl w:val="040C0023"/>
    <w:styleLink w:val="MakaleBlm"/>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BED7DD1"/>
    <w:multiLevelType w:val="hybridMultilevel"/>
    <w:tmpl w:val="68FAD7D2"/>
    <w:lvl w:ilvl="0" w:tplc="5EE4EEA8">
      <w:start w:val="1"/>
      <w:numFmt w:val="lowerRoman"/>
      <w:lvlText w:val="(%1)"/>
      <w:lvlJc w:val="left"/>
      <w:pPr>
        <w:ind w:left="1713" w:hanging="72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2FA67AEE">
      <w:start w:val="1"/>
      <w:numFmt w:val="decimal"/>
      <w:lvlText w:val="%4."/>
      <w:lvlJc w:val="left"/>
      <w:pPr>
        <w:ind w:left="3513" w:hanging="360"/>
      </w:pPr>
      <w:rPr>
        <w:rFonts w:ascii="Times New Roman" w:hAnsi="Times New Roman" w:cs="Times New Roman" w:hint="default"/>
        <w:sz w:val="24"/>
      </w:r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9"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321D33"/>
    <w:multiLevelType w:val="hybridMultilevel"/>
    <w:tmpl w:val="3E989E68"/>
    <w:lvl w:ilvl="0" w:tplc="90AC97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3F4823"/>
    <w:multiLevelType w:val="hybridMultilevel"/>
    <w:tmpl w:val="1988EE08"/>
    <w:lvl w:ilvl="0" w:tplc="ABAEB452">
      <w:start w:val="14"/>
      <w:numFmt w:val="decimal"/>
      <w:lvlText w:val="%1."/>
      <w:lvlJc w:val="left"/>
      <w:pPr>
        <w:ind w:left="720" w:hanging="360"/>
      </w:pPr>
      <w:rPr>
        <w:rFonts w:ascii="Times New Roman" w:hAnsi="Times New Roman" w:cs="Times New Roman" w:hint="default"/>
      </w:rPr>
    </w:lvl>
    <w:lvl w:ilvl="1" w:tplc="2A9CEB82">
      <w:start w:val="14"/>
      <w:numFmt w:val="lowerRoman"/>
      <w:lvlText w:val="%2."/>
      <w:lvlJc w:val="left"/>
      <w:pPr>
        <w:ind w:left="1440" w:hanging="360"/>
      </w:pPr>
    </w:lvl>
    <w:lvl w:ilvl="2" w:tplc="0409001B">
      <w:start w:val="1"/>
      <w:numFmt w:val="lowerRoman"/>
      <w:lvlText w:val="%3."/>
      <w:lvlJc w:val="right"/>
      <w:pPr>
        <w:ind w:left="2160" w:hanging="180"/>
      </w:pPr>
    </w:lvl>
    <w:lvl w:ilvl="3" w:tplc="F7A29F12">
      <w:start w:val="14"/>
      <w:numFmt w:val="decimal"/>
      <w:pStyle w:val="Balk2"/>
      <w:lvlText w:val="%4."/>
      <w:lvlJc w:val="left"/>
      <w:pPr>
        <w:ind w:left="297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57164EF"/>
    <w:multiLevelType w:val="hybridMultilevel"/>
    <w:tmpl w:val="C528466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B3563D"/>
    <w:multiLevelType w:val="hybridMultilevel"/>
    <w:tmpl w:val="94946512"/>
    <w:lvl w:ilvl="0" w:tplc="CE8EA49A">
      <w:start w:val="1"/>
      <w:numFmt w:val="lowerLetter"/>
      <w:lvlText w:val="(%1)"/>
      <w:lvlJc w:val="left"/>
      <w:pPr>
        <w:ind w:left="1713" w:hanging="72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5" w15:restartNumberingAfterBreak="0">
    <w:nsid w:val="405A737D"/>
    <w:multiLevelType w:val="hybridMultilevel"/>
    <w:tmpl w:val="903833B8"/>
    <w:lvl w:ilvl="0" w:tplc="041F000F">
      <w:start w:val="1"/>
      <w:numFmt w:val="decimal"/>
      <w:lvlText w:val="%1."/>
      <w:lvlJc w:val="left"/>
      <w:pPr>
        <w:ind w:left="720" w:hanging="360"/>
      </w:pPr>
    </w:lvl>
    <w:lvl w:ilvl="1" w:tplc="8C924A84">
      <w:start w:val="1"/>
      <w:numFmt w:val="lowerLetter"/>
      <w:lvlText w:val="(%2)"/>
      <w:lvlJc w:val="left"/>
      <w:pPr>
        <w:ind w:left="1440" w:hanging="360"/>
      </w:pPr>
      <w:rPr>
        <w:rFonts w:hint="default"/>
        <w:i w:val="0"/>
      </w:rPr>
    </w:lvl>
    <w:lvl w:ilvl="2" w:tplc="041F001B">
      <w:start w:val="1"/>
      <w:numFmt w:val="lowerRoman"/>
      <w:lvlText w:val="%3."/>
      <w:lvlJc w:val="right"/>
      <w:pPr>
        <w:ind w:left="2160" w:hanging="180"/>
      </w:pPr>
    </w:lvl>
    <w:lvl w:ilvl="3" w:tplc="894C9D1E">
      <w:start w:val="1"/>
      <w:numFmt w:val="decimal"/>
      <w:lvlText w:val="%4."/>
      <w:lvlJc w:val="left"/>
      <w:pPr>
        <w:ind w:left="360" w:hanging="360"/>
      </w:pPr>
      <w:rPr>
        <w:i w:val="0"/>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843721"/>
    <w:multiLevelType w:val="hybridMultilevel"/>
    <w:tmpl w:val="903833B8"/>
    <w:lvl w:ilvl="0" w:tplc="041F000F">
      <w:start w:val="1"/>
      <w:numFmt w:val="decimal"/>
      <w:lvlText w:val="%1."/>
      <w:lvlJc w:val="left"/>
      <w:pPr>
        <w:ind w:left="720" w:hanging="360"/>
      </w:pPr>
    </w:lvl>
    <w:lvl w:ilvl="1" w:tplc="8C924A84">
      <w:start w:val="1"/>
      <w:numFmt w:val="lowerLetter"/>
      <w:lvlText w:val="(%2)"/>
      <w:lvlJc w:val="left"/>
      <w:pPr>
        <w:ind w:left="1440" w:hanging="360"/>
      </w:pPr>
      <w:rPr>
        <w:rFonts w:hint="default"/>
        <w:i w:val="0"/>
      </w:rPr>
    </w:lvl>
    <w:lvl w:ilvl="2" w:tplc="041F001B" w:tentative="1">
      <w:start w:val="1"/>
      <w:numFmt w:val="lowerRoman"/>
      <w:lvlText w:val="%3."/>
      <w:lvlJc w:val="right"/>
      <w:pPr>
        <w:ind w:left="2160" w:hanging="180"/>
      </w:pPr>
    </w:lvl>
    <w:lvl w:ilvl="3" w:tplc="894C9D1E">
      <w:start w:val="1"/>
      <w:numFmt w:val="decimal"/>
      <w:lvlText w:val="%4."/>
      <w:lvlJc w:val="left"/>
      <w:pPr>
        <w:ind w:left="360" w:hanging="360"/>
      </w:pPr>
      <w:rPr>
        <w:i w:val="0"/>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9362BF"/>
    <w:multiLevelType w:val="hybridMultilevel"/>
    <w:tmpl w:val="42308E12"/>
    <w:lvl w:ilvl="0" w:tplc="A9F805A0">
      <w:start w:val="1"/>
      <w:numFmt w:val="lowerRoman"/>
      <w:pStyle w:val="Balk4"/>
      <w:lvlText w:val="(%1)"/>
      <w:lvlJc w:val="left"/>
      <w:pPr>
        <w:ind w:left="1530" w:hanging="720"/>
      </w:pPr>
      <w:rPr>
        <w:rFonts w:hint="default"/>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29"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4472C4"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0" w15:restartNumberingAfterBreak="0">
    <w:nsid w:val="4AD06392"/>
    <w:multiLevelType w:val="multilevel"/>
    <w:tmpl w:val="4E243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2" w15:restartNumberingAfterBreak="0">
    <w:nsid w:val="55765C5F"/>
    <w:multiLevelType w:val="hybridMultilevel"/>
    <w:tmpl w:val="F25C50DA"/>
    <w:lvl w:ilvl="0" w:tplc="D5243DA2">
      <w:start w:val="3"/>
      <w:numFmt w:val="bullet"/>
      <w:lvlText w:val="-"/>
      <w:lvlJc w:val="left"/>
      <w:pPr>
        <w:ind w:left="1778" w:hanging="360"/>
      </w:pPr>
      <w:rPr>
        <w:rFonts w:ascii="TimesNewRomanPSMT" w:eastAsiaTheme="minorHAnsi" w:hAnsi="TimesNewRomanPSMT" w:cs="Times New Roman" w:hint="default"/>
      </w:rPr>
    </w:lvl>
    <w:lvl w:ilvl="1" w:tplc="04090001">
      <w:start w:val="1"/>
      <w:numFmt w:val="bullet"/>
      <w:lvlText w:val=""/>
      <w:lvlJc w:val="left"/>
      <w:pPr>
        <w:ind w:left="2498" w:hanging="360"/>
      </w:pPr>
      <w:rPr>
        <w:rFonts w:ascii="Symbol" w:hAnsi="Symbol"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33" w15:restartNumberingAfterBreak="0">
    <w:nsid w:val="55973800"/>
    <w:multiLevelType w:val="multilevel"/>
    <w:tmpl w:val="4D0E71DE"/>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35" w15:restartNumberingAfterBreak="0">
    <w:nsid w:val="5E082CDD"/>
    <w:multiLevelType w:val="hybridMultilevel"/>
    <w:tmpl w:val="03E60570"/>
    <w:lvl w:ilvl="0" w:tplc="0B588268">
      <w:start w:val="1"/>
      <w:numFmt w:val="upperRoman"/>
      <w:pStyle w:val="Balk1"/>
      <w:lvlText w:val="%1."/>
      <w:lvlJc w:val="left"/>
      <w:pPr>
        <w:ind w:left="953" w:hanging="720"/>
      </w:pPr>
      <w:rPr>
        <w:rFonts w:hint="default"/>
      </w:rPr>
    </w:lvl>
    <w:lvl w:ilvl="1" w:tplc="041F0019" w:tentative="1">
      <w:start w:val="1"/>
      <w:numFmt w:val="lowerLetter"/>
      <w:lvlText w:val="%2."/>
      <w:lvlJc w:val="left"/>
      <w:pPr>
        <w:ind w:left="1313" w:hanging="360"/>
      </w:pPr>
    </w:lvl>
    <w:lvl w:ilvl="2" w:tplc="041F001B" w:tentative="1">
      <w:start w:val="1"/>
      <w:numFmt w:val="lowerRoman"/>
      <w:lvlText w:val="%3."/>
      <w:lvlJc w:val="right"/>
      <w:pPr>
        <w:ind w:left="2033" w:hanging="180"/>
      </w:pPr>
    </w:lvl>
    <w:lvl w:ilvl="3" w:tplc="041F000F" w:tentative="1">
      <w:start w:val="1"/>
      <w:numFmt w:val="decimal"/>
      <w:lvlText w:val="%4."/>
      <w:lvlJc w:val="left"/>
      <w:pPr>
        <w:ind w:left="2753" w:hanging="360"/>
      </w:pPr>
    </w:lvl>
    <w:lvl w:ilvl="4" w:tplc="041F0019" w:tentative="1">
      <w:start w:val="1"/>
      <w:numFmt w:val="lowerLetter"/>
      <w:lvlText w:val="%5."/>
      <w:lvlJc w:val="left"/>
      <w:pPr>
        <w:ind w:left="3473" w:hanging="360"/>
      </w:pPr>
    </w:lvl>
    <w:lvl w:ilvl="5" w:tplc="041F001B" w:tentative="1">
      <w:start w:val="1"/>
      <w:numFmt w:val="lowerRoman"/>
      <w:lvlText w:val="%6."/>
      <w:lvlJc w:val="right"/>
      <w:pPr>
        <w:ind w:left="4193" w:hanging="180"/>
      </w:pPr>
    </w:lvl>
    <w:lvl w:ilvl="6" w:tplc="041F000F" w:tentative="1">
      <w:start w:val="1"/>
      <w:numFmt w:val="decimal"/>
      <w:lvlText w:val="%7."/>
      <w:lvlJc w:val="left"/>
      <w:pPr>
        <w:ind w:left="4913" w:hanging="360"/>
      </w:pPr>
    </w:lvl>
    <w:lvl w:ilvl="7" w:tplc="041F0019" w:tentative="1">
      <w:start w:val="1"/>
      <w:numFmt w:val="lowerLetter"/>
      <w:lvlText w:val="%8."/>
      <w:lvlJc w:val="left"/>
      <w:pPr>
        <w:ind w:left="5633" w:hanging="360"/>
      </w:pPr>
    </w:lvl>
    <w:lvl w:ilvl="8" w:tplc="041F001B" w:tentative="1">
      <w:start w:val="1"/>
      <w:numFmt w:val="lowerRoman"/>
      <w:lvlText w:val="%9."/>
      <w:lvlJc w:val="right"/>
      <w:pPr>
        <w:ind w:left="6353" w:hanging="180"/>
      </w:pPr>
    </w:lvl>
  </w:abstractNum>
  <w:abstractNum w:abstractNumId="36" w15:restartNumberingAfterBreak="0">
    <w:nsid w:val="65AB2277"/>
    <w:multiLevelType w:val="hybridMultilevel"/>
    <w:tmpl w:val="4CE0B3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FD1241"/>
    <w:multiLevelType w:val="hybridMultilevel"/>
    <w:tmpl w:val="F6D86CC2"/>
    <w:lvl w:ilvl="0" w:tplc="4064964E">
      <w:start w:val="1"/>
      <w:numFmt w:val="bullet"/>
      <w:pStyle w:val="ListeMaddemi"/>
      <w:lvlText w:val=""/>
      <w:lvlJc w:val="left"/>
      <w:pPr>
        <w:tabs>
          <w:tab w:val="num" w:pos="851"/>
        </w:tabs>
        <w:ind w:left="568" w:firstLine="0"/>
      </w:pPr>
      <w:rPr>
        <w:rFonts w:ascii="Wingdings" w:hAnsi="Wingdings" w:hint="default"/>
        <w:color w:val="808080"/>
        <w:sz w:val="16"/>
      </w:rPr>
    </w:lvl>
    <w:lvl w:ilvl="1" w:tplc="A20C3902" w:tentative="1">
      <w:start w:val="1"/>
      <w:numFmt w:val="bullet"/>
      <w:lvlText w:val="o"/>
      <w:lvlJc w:val="left"/>
      <w:pPr>
        <w:tabs>
          <w:tab w:val="num" w:pos="1724"/>
        </w:tabs>
        <w:ind w:left="1724" w:hanging="360"/>
      </w:pPr>
      <w:rPr>
        <w:rFonts w:ascii="Courier New" w:hAnsi="Courier New" w:cs="Courier New" w:hint="default"/>
      </w:rPr>
    </w:lvl>
    <w:lvl w:ilvl="2" w:tplc="6E0E7EE8" w:tentative="1">
      <w:start w:val="1"/>
      <w:numFmt w:val="bullet"/>
      <w:lvlText w:val=""/>
      <w:lvlJc w:val="left"/>
      <w:pPr>
        <w:tabs>
          <w:tab w:val="num" w:pos="2444"/>
        </w:tabs>
        <w:ind w:left="2444" w:hanging="360"/>
      </w:pPr>
      <w:rPr>
        <w:rFonts w:ascii="Wingdings" w:hAnsi="Wingdings" w:hint="default"/>
      </w:rPr>
    </w:lvl>
    <w:lvl w:ilvl="3" w:tplc="249027BE" w:tentative="1">
      <w:start w:val="1"/>
      <w:numFmt w:val="bullet"/>
      <w:lvlText w:val=""/>
      <w:lvlJc w:val="left"/>
      <w:pPr>
        <w:tabs>
          <w:tab w:val="num" w:pos="3164"/>
        </w:tabs>
        <w:ind w:left="3164" w:hanging="360"/>
      </w:pPr>
      <w:rPr>
        <w:rFonts w:ascii="Symbol" w:hAnsi="Symbol" w:hint="default"/>
      </w:rPr>
    </w:lvl>
    <w:lvl w:ilvl="4" w:tplc="F8D497D6" w:tentative="1">
      <w:start w:val="1"/>
      <w:numFmt w:val="bullet"/>
      <w:lvlText w:val="o"/>
      <w:lvlJc w:val="left"/>
      <w:pPr>
        <w:tabs>
          <w:tab w:val="num" w:pos="3884"/>
        </w:tabs>
        <w:ind w:left="3884" w:hanging="360"/>
      </w:pPr>
      <w:rPr>
        <w:rFonts w:ascii="Courier New" w:hAnsi="Courier New" w:cs="Courier New" w:hint="default"/>
      </w:rPr>
    </w:lvl>
    <w:lvl w:ilvl="5" w:tplc="7682F0F4" w:tentative="1">
      <w:start w:val="1"/>
      <w:numFmt w:val="bullet"/>
      <w:lvlText w:val=""/>
      <w:lvlJc w:val="left"/>
      <w:pPr>
        <w:tabs>
          <w:tab w:val="num" w:pos="4604"/>
        </w:tabs>
        <w:ind w:left="4604" w:hanging="360"/>
      </w:pPr>
      <w:rPr>
        <w:rFonts w:ascii="Wingdings" w:hAnsi="Wingdings" w:hint="default"/>
      </w:rPr>
    </w:lvl>
    <w:lvl w:ilvl="6" w:tplc="4224CF08" w:tentative="1">
      <w:start w:val="1"/>
      <w:numFmt w:val="bullet"/>
      <w:lvlText w:val=""/>
      <w:lvlJc w:val="left"/>
      <w:pPr>
        <w:tabs>
          <w:tab w:val="num" w:pos="5324"/>
        </w:tabs>
        <w:ind w:left="5324" w:hanging="360"/>
      </w:pPr>
      <w:rPr>
        <w:rFonts w:ascii="Symbol" w:hAnsi="Symbol" w:hint="default"/>
      </w:rPr>
    </w:lvl>
    <w:lvl w:ilvl="7" w:tplc="20CC7236" w:tentative="1">
      <w:start w:val="1"/>
      <w:numFmt w:val="bullet"/>
      <w:lvlText w:val="o"/>
      <w:lvlJc w:val="left"/>
      <w:pPr>
        <w:tabs>
          <w:tab w:val="num" w:pos="6044"/>
        </w:tabs>
        <w:ind w:left="6044" w:hanging="360"/>
      </w:pPr>
      <w:rPr>
        <w:rFonts w:ascii="Courier New" w:hAnsi="Courier New" w:cs="Courier New" w:hint="default"/>
      </w:rPr>
    </w:lvl>
    <w:lvl w:ilvl="8" w:tplc="F2D2F8FE"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82A5022"/>
    <w:multiLevelType w:val="multilevel"/>
    <w:tmpl w:val="9904C1AA"/>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i w:val="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46810C4"/>
    <w:multiLevelType w:val="hybridMultilevel"/>
    <w:tmpl w:val="71E4D41C"/>
    <w:lvl w:ilvl="0" w:tplc="BAB8DBDA">
      <w:start w:val="1"/>
      <w:numFmt w:val="decimal"/>
      <w:pStyle w:val="Balk5"/>
      <w:lvlText w:val="(%1)"/>
      <w:lvlJc w:val="left"/>
      <w:pPr>
        <w:ind w:left="1530" w:hanging="360"/>
      </w:pPr>
      <w:rPr>
        <w:rFonts w:hint="default"/>
      </w:rPr>
    </w:lvl>
    <w:lvl w:ilvl="1" w:tplc="041F0019" w:tentative="1">
      <w:start w:val="1"/>
      <w:numFmt w:val="lowerLetter"/>
      <w:lvlText w:val="%2."/>
      <w:lvlJc w:val="left"/>
      <w:pPr>
        <w:ind w:left="2250" w:hanging="360"/>
      </w:pPr>
    </w:lvl>
    <w:lvl w:ilvl="2" w:tplc="041F001B" w:tentative="1">
      <w:start w:val="1"/>
      <w:numFmt w:val="lowerRoman"/>
      <w:lvlText w:val="%3."/>
      <w:lvlJc w:val="right"/>
      <w:pPr>
        <w:ind w:left="2970" w:hanging="180"/>
      </w:pPr>
    </w:lvl>
    <w:lvl w:ilvl="3" w:tplc="041F000F" w:tentative="1">
      <w:start w:val="1"/>
      <w:numFmt w:val="decimal"/>
      <w:lvlText w:val="%4."/>
      <w:lvlJc w:val="left"/>
      <w:pPr>
        <w:ind w:left="3690" w:hanging="360"/>
      </w:pPr>
    </w:lvl>
    <w:lvl w:ilvl="4" w:tplc="041F0019" w:tentative="1">
      <w:start w:val="1"/>
      <w:numFmt w:val="lowerLetter"/>
      <w:lvlText w:val="%5."/>
      <w:lvlJc w:val="left"/>
      <w:pPr>
        <w:ind w:left="4410" w:hanging="360"/>
      </w:pPr>
    </w:lvl>
    <w:lvl w:ilvl="5" w:tplc="041F001B" w:tentative="1">
      <w:start w:val="1"/>
      <w:numFmt w:val="lowerRoman"/>
      <w:lvlText w:val="%6."/>
      <w:lvlJc w:val="right"/>
      <w:pPr>
        <w:ind w:left="5130" w:hanging="180"/>
      </w:pPr>
    </w:lvl>
    <w:lvl w:ilvl="6" w:tplc="041F000F" w:tentative="1">
      <w:start w:val="1"/>
      <w:numFmt w:val="decimal"/>
      <w:lvlText w:val="%7."/>
      <w:lvlJc w:val="left"/>
      <w:pPr>
        <w:ind w:left="5850" w:hanging="360"/>
      </w:pPr>
    </w:lvl>
    <w:lvl w:ilvl="7" w:tplc="041F0019" w:tentative="1">
      <w:start w:val="1"/>
      <w:numFmt w:val="lowerLetter"/>
      <w:lvlText w:val="%8."/>
      <w:lvlJc w:val="left"/>
      <w:pPr>
        <w:ind w:left="6570" w:hanging="360"/>
      </w:pPr>
    </w:lvl>
    <w:lvl w:ilvl="8" w:tplc="041F001B" w:tentative="1">
      <w:start w:val="1"/>
      <w:numFmt w:val="lowerRoman"/>
      <w:lvlText w:val="%9."/>
      <w:lvlJc w:val="right"/>
      <w:pPr>
        <w:ind w:left="7290" w:hanging="180"/>
      </w:pPr>
    </w:lvl>
  </w:abstractNum>
  <w:abstractNum w:abstractNumId="40" w15:restartNumberingAfterBreak="0">
    <w:nsid w:val="79201798"/>
    <w:multiLevelType w:val="hybridMultilevel"/>
    <w:tmpl w:val="37A62A18"/>
    <w:lvl w:ilvl="0" w:tplc="5EE4EEA8">
      <w:start w:val="1"/>
      <w:numFmt w:val="lowerRoman"/>
      <w:lvlText w:val="(%1)"/>
      <w:lvlJc w:val="left"/>
      <w:pPr>
        <w:ind w:left="1713" w:hanging="72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num w:numId="1">
    <w:abstractNumId w:val="12"/>
  </w:num>
  <w:num w:numId="2">
    <w:abstractNumId w:val="33"/>
  </w:num>
  <w:num w:numId="3">
    <w:abstractNumId w:val="30"/>
  </w:num>
  <w:num w:numId="4">
    <w:abstractNumId w:val="35"/>
  </w:num>
  <w:num w:numId="5">
    <w:abstractNumId w:val="13"/>
  </w:num>
  <w:num w:numId="6">
    <w:abstractNumId w:val="38"/>
  </w:num>
  <w:num w:numId="7">
    <w:abstractNumId w:val="39"/>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2"/>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num>
  <w:num w:numId="16">
    <w:abstractNumId w:val="16"/>
    <w:lvlOverride w:ilvl="0">
      <w:startOverride w:val="1"/>
    </w:lvlOverride>
  </w:num>
  <w:num w:numId="17">
    <w:abstractNumId w:val="28"/>
    <w:lvlOverride w:ilvl="0">
      <w:startOverride w:val="1"/>
    </w:lvlOverride>
  </w:num>
  <w:num w:numId="18">
    <w:abstractNumId w:val="35"/>
    <w:lvlOverride w:ilvl="0">
      <w:startOverride w:val="1"/>
    </w:lvlOverride>
  </w:num>
  <w:num w:numId="19">
    <w:abstractNumId w:val="9"/>
  </w:num>
  <w:num w:numId="20">
    <w:abstractNumId w:val="23"/>
  </w:num>
  <w:num w:numId="21">
    <w:abstractNumId w:val="16"/>
    <w:lvlOverride w:ilvl="0">
      <w:startOverride w:val="1"/>
    </w:lvlOverride>
  </w:num>
  <w:num w:numId="22">
    <w:abstractNumId w:val="36"/>
  </w:num>
  <w:num w:numId="23">
    <w:abstractNumId w:val="16"/>
    <w:lvlOverride w:ilvl="0">
      <w:startOverride w:val="1"/>
    </w:lvlOverride>
  </w:num>
  <w:num w:numId="24">
    <w:abstractNumId w:val="16"/>
    <w:lvlOverride w:ilvl="0">
      <w:startOverride w:val="1"/>
    </w:lvlOverride>
  </w:num>
  <w:num w:numId="25">
    <w:abstractNumId w:val="14"/>
  </w:num>
  <w:num w:numId="26">
    <w:abstractNumId w:val="25"/>
  </w:num>
  <w:num w:numId="27">
    <w:abstractNumId w:val="26"/>
  </w:num>
  <w:num w:numId="28">
    <w:abstractNumId w:val="20"/>
  </w:num>
  <w:num w:numId="29">
    <w:abstractNumId w:val="10"/>
    <w:lvlOverride w:ilvl="0">
      <w:lvl w:ilvl="0">
        <w:start w:val="1"/>
        <w:numFmt w:val="decimal"/>
        <w:lvlText w:val="%1."/>
        <w:lvlJc w:val="left"/>
        <w:pPr>
          <w:tabs>
            <w:tab w:val="num" w:pos="340"/>
          </w:tabs>
          <w:ind w:left="340" w:hanging="340"/>
        </w:pPr>
        <w:rPr>
          <w:rFonts w:hint="default"/>
          <w:color w:val="auto"/>
        </w:rPr>
      </w:lvl>
    </w:lvlOverride>
  </w:num>
  <w:num w:numId="30">
    <w:abstractNumId w:val="34"/>
  </w:num>
  <w:num w:numId="31">
    <w:abstractNumId w:val="11"/>
  </w:num>
  <w:num w:numId="32">
    <w:abstractNumId w:val="15"/>
  </w:num>
  <w:num w:numId="33">
    <w:abstractNumId w:val="27"/>
  </w:num>
  <w:num w:numId="34">
    <w:abstractNumId w:val="19"/>
  </w:num>
  <w:num w:numId="35">
    <w:abstractNumId w:val="17"/>
  </w:num>
  <w:num w:numId="36">
    <w:abstractNumId w:val="29"/>
  </w:num>
  <w:num w:numId="37">
    <w:abstractNumId w:val="21"/>
  </w:num>
  <w:num w:numId="38">
    <w:abstractNumId w:val="31"/>
  </w:num>
  <w:num w:numId="39">
    <w:abstractNumId w:val="37"/>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56"/>
    <w:rsid w:val="000542AC"/>
    <w:rsid w:val="00074653"/>
    <w:rsid w:val="00085FCA"/>
    <w:rsid w:val="00086E65"/>
    <w:rsid w:val="00093A06"/>
    <w:rsid w:val="00096981"/>
    <w:rsid w:val="000A35B3"/>
    <w:rsid w:val="000B28C8"/>
    <w:rsid w:val="000D39FB"/>
    <w:rsid w:val="000E2D20"/>
    <w:rsid w:val="000F3516"/>
    <w:rsid w:val="000F355E"/>
    <w:rsid w:val="0010508A"/>
    <w:rsid w:val="00106771"/>
    <w:rsid w:val="00116CF2"/>
    <w:rsid w:val="00126EE5"/>
    <w:rsid w:val="001302A1"/>
    <w:rsid w:val="00131F62"/>
    <w:rsid w:val="00137AB0"/>
    <w:rsid w:val="0015092C"/>
    <w:rsid w:val="00152D9D"/>
    <w:rsid w:val="00160A2C"/>
    <w:rsid w:val="00165361"/>
    <w:rsid w:val="00176978"/>
    <w:rsid w:val="00183642"/>
    <w:rsid w:val="00193356"/>
    <w:rsid w:val="00196E0F"/>
    <w:rsid w:val="001B092F"/>
    <w:rsid w:val="001C01BA"/>
    <w:rsid w:val="002050A7"/>
    <w:rsid w:val="00213E5D"/>
    <w:rsid w:val="00233C53"/>
    <w:rsid w:val="00274EE3"/>
    <w:rsid w:val="00291A27"/>
    <w:rsid w:val="002961ED"/>
    <w:rsid w:val="002A1CEF"/>
    <w:rsid w:val="002C4924"/>
    <w:rsid w:val="002C7EDA"/>
    <w:rsid w:val="002E2B52"/>
    <w:rsid w:val="002F15FB"/>
    <w:rsid w:val="002F275E"/>
    <w:rsid w:val="00316CCD"/>
    <w:rsid w:val="00317EB5"/>
    <w:rsid w:val="00324D35"/>
    <w:rsid w:val="00332962"/>
    <w:rsid w:val="00350CA9"/>
    <w:rsid w:val="00371DA2"/>
    <w:rsid w:val="003820C1"/>
    <w:rsid w:val="00392B14"/>
    <w:rsid w:val="00393B35"/>
    <w:rsid w:val="00394DD8"/>
    <w:rsid w:val="003C25C6"/>
    <w:rsid w:val="003D37B3"/>
    <w:rsid w:val="003D5488"/>
    <w:rsid w:val="003E5439"/>
    <w:rsid w:val="00404F65"/>
    <w:rsid w:val="00411327"/>
    <w:rsid w:val="0041465B"/>
    <w:rsid w:val="00420F09"/>
    <w:rsid w:val="00421D67"/>
    <w:rsid w:val="00424D4E"/>
    <w:rsid w:val="00427551"/>
    <w:rsid w:val="004311DE"/>
    <w:rsid w:val="00431FCA"/>
    <w:rsid w:val="0043320B"/>
    <w:rsid w:val="00440949"/>
    <w:rsid w:val="00441BD9"/>
    <w:rsid w:val="0045530A"/>
    <w:rsid w:val="004738DA"/>
    <w:rsid w:val="00475F1E"/>
    <w:rsid w:val="00486F79"/>
    <w:rsid w:val="0048766F"/>
    <w:rsid w:val="004907BB"/>
    <w:rsid w:val="0049705B"/>
    <w:rsid w:val="004B079C"/>
    <w:rsid w:val="004B6D53"/>
    <w:rsid w:val="004D506E"/>
    <w:rsid w:val="004D586D"/>
    <w:rsid w:val="004E4F04"/>
    <w:rsid w:val="00511D68"/>
    <w:rsid w:val="00521D4B"/>
    <w:rsid w:val="0053400F"/>
    <w:rsid w:val="005551C0"/>
    <w:rsid w:val="0056017B"/>
    <w:rsid w:val="005617A1"/>
    <w:rsid w:val="00565448"/>
    <w:rsid w:val="00576225"/>
    <w:rsid w:val="005935CF"/>
    <w:rsid w:val="005B5EC2"/>
    <w:rsid w:val="005D4D22"/>
    <w:rsid w:val="005E7194"/>
    <w:rsid w:val="0060280C"/>
    <w:rsid w:val="00603E1A"/>
    <w:rsid w:val="0060581B"/>
    <w:rsid w:val="006241B2"/>
    <w:rsid w:val="0062770D"/>
    <w:rsid w:val="00627C77"/>
    <w:rsid w:val="006326D9"/>
    <w:rsid w:val="00643348"/>
    <w:rsid w:val="00650FFE"/>
    <w:rsid w:val="006556E2"/>
    <w:rsid w:val="00657F79"/>
    <w:rsid w:val="00661A03"/>
    <w:rsid w:val="00683825"/>
    <w:rsid w:val="006A59EA"/>
    <w:rsid w:val="006B3057"/>
    <w:rsid w:val="006B5D6C"/>
    <w:rsid w:val="006E091E"/>
    <w:rsid w:val="00705317"/>
    <w:rsid w:val="0072230D"/>
    <w:rsid w:val="00724F6F"/>
    <w:rsid w:val="00744963"/>
    <w:rsid w:val="00777263"/>
    <w:rsid w:val="0078462D"/>
    <w:rsid w:val="00786545"/>
    <w:rsid w:val="007A0C9C"/>
    <w:rsid w:val="007A3A8D"/>
    <w:rsid w:val="007B1988"/>
    <w:rsid w:val="007D6614"/>
    <w:rsid w:val="007E3DD1"/>
    <w:rsid w:val="007F1126"/>
    <w:rsid w:val="007F4F83"/>
    <w:rsid w:val="00800335"/>
    <w:rsid w:val="0080356D"/>
    <w:rsid w:val="00810030"/>
    <w:rsid w:val="00812749"/>
    <w:rsid w:val="008224C0"/>
    <w:rsid w:val="00825AF7"/>
    <w:rsid w:val="008273E0"/>
    <w:rsid w:val="008438DA"/>
    <w:rsid w:val="00852406"/>
    <w:rsid w:val="00864AFA"/>
    <w:rsid w:val="0088348C"/>
    <w:rsid w:val="00894AC8"/>
    <w:rsid w:val="0089710C"/>
    <w:rsid w:val="008B13B4"/>
    <w:rsid w:val="008B68C0"/>
    <w:rsid w:val="008D06B1"/>
    <w:rsid w:val="008D5EF7"/>
    <w:rsid w:val="00907471"/>
    <w:rsid w:val="00940AE8"/>
    <w:rsid w:val="00971FBD"/>
    <w:rsid w:val="009944BF"/>
    <w:rsid w:val="009A1EB5"/>
    <w:rsid w:val="009A3C60"/>
    <w:rsid w:val="009A42E1"/>
    <w:rsid w:val="009A584F"/>
    <w:rsid w:val="009B1AD3"/>
    <w:rsid w:val="009D3BA1"/>
    <w:rsid w:val="009D7096"/>
    <w:rsid w:val="009F284A"/>
    <w:rsid w:val="00A054BF"/>
    <w:rsid w:val="00A15AE8"/>
    <w:rsid w:val="00A50CDD"/>
    <w:rsid w:val="00A70815"/>
    <w:rsid w:val="00A72682"/>
    <w:rsid w:val="00A85163"/>
    <w:rsid w:val="00A92996"/>
    <w:rsid w:val="00A9475C"/>
    <w:rsid w:val="00AA3B45"/>
    <w:rsid w:val="00AC7D2C"/>
    <w:rsid w:val="00AE04B9"/>
    <w:rsid w:val="00AF22E8"/>
    <w:rsid w:val="00B00E66"/>
    <w:rsid w:val="00B42E56"/>
    <w:rsid w:val="00B47C83"/>
    <w:rsid w:val="00B566B9"/>
    <w:rsid w:val="00B63D03"/>
    <w:rsid w:val="00BA3D28"/>
    <w:rsid w:val="00BA76C3"/>
    <w:rsid w:val="00BB230C"/>
    <w:rsid w:val="00C0681D"/>
    <w:rsid w:val="00C17185"/>
    <w:rsid w:val="00C51808"/>
    <w:rsid w:val="00C70B02"/>
    <w:rsid w:val="00C750FB"/>
    <w:rsid w:val="00C82A19"/>
    <w:rsid w:val="00C87E44"/>
    <w:rsid w:val="00CB11CD"/>
    <w:rsid w:val="00CD0238"/>
    <w:rsid w:val="00CF3555"/>
    <w:rsid w:val="00D00B90"/>
    <w:rsid w:val="00D00DC6"/>
    <w:rsid w:val="00D05B33"/>
    <w:rsid w:val="00D30BFB"/>
    <w:rsid w:val="00D479FE"/>
    <w:rsid w:val="00D5157F"/>
    <w:rsid w:val="00D52201"/>
    <w:rsid w:val="00DA1D16"/>
    <w:rsid w:val="00DB7842"/>
    <w:rsid w:val="00DC3A9D"/>
    <w:rsid w:val="00DE6449"/>
    <w:rsid w:val="00E103AC"/>
    <w:rsid w:val="00E33979"/>
    <w:rsid w:val="00E360A1"/>
    <w:rsid w:val="00E40EF1"/>
    <w:rsid w:val="00E535CC"/>
    <w:rsid w:val="00EA20F2"/>
    <w:rsid w:val="00EA7198"/>
    <w:rsid w:val="00EA7C14"/>
    <w:rsid w:val="00EB68E4"/>
    <w:rsid w:val="00EF281D"/>
    <w:rsid w:val="00EF799C"/>
    <w:rsid w:val="00F03D80"/>
    <w:rsid w:val="00F20176"/>
    <w:rsid w:val="00F27897"/>
    <w:rsid w:val="00F31970"/>
    <w:rsid w:val="00F53194"/>
    <w:rsid w:val="00F60DB0"/>
    <w:rsid w:val="00F74305"/>
    <w:rsid w:val="00F91E6F"/>
    <w:rsid w:val="00F959F3"/>
    <w:rsid w:val="00FC42A3"/>
    <w:rsid w:val="00FE09B0"/>
    <w:rsid w:val="00FE3E5B"/>
    <w:rsid w:val="00FF1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213E9"/>
  <w15:docId w15:val="{9538FFE7-8AD3-C840-AEE9-DDC3CC50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8"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ListeParagraf"/>
    <w:next w:val="Normal"/>
    <w:link w:val="Balk1Char"/>
    <w:uiPriority w:val="98"/>
    <w:qFormat/>
    <w:rsid w:val="007A3A8D"/>
    <w:pPr>
      <w:numPr>
        <w:numId w:val="4"/>
      </w:numPr>
      <w:shd w:val="clear" w:color="auto" w:fill="FFFFFF"/>
      <w:spacing w:before="100" w:after="240" w:line="276" w:lineRule="auto"/>
      <w:jc w:val="both"/>
      <w:outlineLvl w:val="0"/>
    </w:pPr>
    <w:rPr>
      <w:rFonts w:ascii="Times New Roman" w:eastAsia="Times New Roman" w:hAnsi="Times New Roman" w:cs="Times New Roman"/>
      <w:caps/>
      <w:color w:val="000000"/>
      <w:sz w:val="24"/>
      <w:szCs w:val="24"/>
      <w:lang w:eastAsia="tr-TR"/>
    </w:rPr>
  </w:style>
  <w:style w:type="paragraph" w:styleId="Balk2">
    <w:name w:val="heading 2"/>
    <w:basedOn w:val="ListeParagraf"/>
    <w:next w:val="Normal"/>
    <w:link w:val="Balk2Char"/>
    <w:uiPriority w:val="98"/>
    <w:unhideWhenUsed/>
    <w:qFormat/>
    <w:rsid w:val="000F355E"/>
    <w:pPr>
      <w:numPr>
        <w:ilvl w:val="3"/>
        <w:numId w:val="11"/>
      </w:numPr>
      <w:shd w:val="clear" w:color="auto" w:fill="FFFFFF"/>
      <w:spacing w:after="0" w:line="276" w:lineRule="auto"/>
      <w:jc w:val="both"/>
      <w:outlineLvl w:val="1"/>
    </w:pPr>
    <w:rPr>
      <w:rFonts w:ascii="Times New Roman" w:eastAsia="Times New Roman" w:hAnsi="Times New Roman" w:cs="Times New Roman"/>
      <w:i/>
      <w:color w:val="000000"/>
      <w:sz w:val="24"/>
      <w:szCs w:val="24"/>
      <w:lang w:eastAsia="tr-TR"/>
    </w:rPr>
  </w:style>
  <w:style w:type="paragraph" w:styleId="Balk3">
    <w:name w:val="heading 3"/>
    <w:basedOn w:val="ListeParagraf"/>
    <w:next w:val="Normal"/>
    <w:link w:val="Balk3Char"/>
    <w:uiPriority w:val="98"/>
    <w:unhideWhenUsed/>
    <w:qFormat/>
    <w:rsid w:val="008273E0"/>
    <w:pPr>
      <w:numPr>
        <w:numId w:val="14"/>
      </w:numPr>
      <w:shd w:val="clear" w:color="auto" w:fill="FFFFFF"/>
      <w:tabs>
        <w:tab w:val="left" w:pos="720"/>
      </w:tabs>
      <w:spacing w:after="0" w:line="276" w:lineRule="auto"/>
      <w:jc w:val="both"/>
      <w:outlineLvl w:val="2"/>
    </w:pPr>
    <w:rPr>
      <w:rFonts w:ascii="Times New Roman" w:eastAsia="Times New Roman" w:hAnsi="Times New Roman" w:cs="Times New Roman"/>
      <w:b/>
      <w:color w:val="000000"/>
      <w:szCs w:val="24"/>
      <w:lang w:eastAsia="tr-TR"/>
    </w:rPr>
  </w:style>
  <w:style w:type="paragraph" w:styleId="Balk4">
    <w:name w:val="heading 4"/>
    <w:basedOn w:val="ListeParagraf"/>
    <w:next w:val="Normal"/>
    <w:link w:val="Balk4Char"/>
    <w:uiPriority w:val="98"/>
    <w:unhideWhenUsed/>
    <w:qFormat/>
    <w:rsid w:val="008273E0"/>
    <w:pPr>
      <w:numPr>
        <w:numId w:val="15"/>
      </w:numPr>
      <w:shd w:val="clear" w:color="auto" w:fill="FFFFFF"/>
      <w:tabs>
        <w:tab w:val="left" w:pos="720"/>
      </w:tabs>
      <w:spacing w:after="0" w:line="276" w:lineRule="auto"/>
      <w:ind w:left="990" w:hanging="90"/>
      <w:jc w:val="both"/>
      <w:outlineLvl w:val="3"/>
    </w:pPr>
    <w:rPr>
      <w:rFonts w:ascii="Times New Roman" w:eastAsia="Times New Roman" w:hAnsi="Times New Roman" w:cs="Times New Roman"/>
      <w:i/>
      <w:color w:val="000000"/>
      <w:szCs w:val="24"/>
      <w:lang w:eastAsia="tr-TR"/>
    </w:rPr>
  </w:style>
  <w:style w:type="paragraph" w:styleId="Balk5">
    <w:name w:val="heading 5"/>
    <w:basedOn w:val="ListeParagraf"/>
    <w:next w:val="Normal"/>
    <w:link w:val="Balk5Char"/>
    <w:uiPriority w:val="98"/>
    <w:unhideWhenUsed/>
    <w:qFormat/>
    <w:rsid w:val="00DB7842"/>
    <w:pPr>
      <w:numPr>
        <w:numId w:val="7"/>
      </w:numPr>
      <w:shd w:val="clear" w:color="auto" w:fill="FFFFFF"/>
      <w:tabs>
        <w:tab w:val="left" w:pos="720"/>
      </w:tabs>
      <w:spacing w:after="0" w:line="276" w:lineRule="auto"/>
      <w:ind w:hanging="90"/>
      <w:jc w:val="both"/>
      <w:outlineLvl w:val="4"/>
    </w:pPr>
    <w:rPr>
      <w:rFonts w:ascii="Times New Roman" w:eastAsia="Times New Roman" w:hAnsi="Times New Roman" w:cs="Times New Roman"/>
      <w:color w:val="000000"/>
      <w:szCs w:val="24"/>
      <w:lang w:eastAsia="tr-TR"/>
    </w:rPr>
  </w:style>
  <w:style w:type="paragraph" w:styleId="Balk6">
    <w:name w:val="heading 6"/>
    <w:basedOn w:val="Normal"/>
    <w:next w:val="Normal"/>
    <w:link w:val="Balk6Char"/>
    <w:uiPriority w:val="98"/>
    <w:semiHidden/>
    <w:unhideWhenUsed/>
    <w:qFormat/>
    <w:rsid w:val="005B5EC2"/>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8"/>
    <w:semiHidden/>
    <w:unhideWhenUsed/>
    <w:qFormat/>
    <w:rsid w:val="005B5EC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8"/>
    <w:semiHidden/>
    <w:unhideWhenUsed/>
    <w:qFormat/>
    <w:rsid w:val="005B5EC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8"/>
    <w:semiHidden/>
    <w:unhideWhenUsed/>
    <w:qFormat/>
    <w:rsid w:val="005B5E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7d2086b4">
    <w:name w:val="s7d2086b4"/>
    <w:basedOn w:val="VarsaylanParagrafYazTipi"/>
    <w:rsid w:val="00CF3555"/>
  </w:style>
  <w:style w:type="paragraph" w:customStyle="1" w:styleId="s30eec3f8">
    <w:name w:val="s30eec3f8"/>
    <w:basedOn w:val="Normal"/>
    <w:rsid w:val="00CF35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b8d990e2">
    <w:name w:val="sb8d990e2"/>
    <w:basedOn w:val="VarsaylanParagrafYazTipi"/>
    <w:rsid w:val="00CF3555"/>
  </w:style>
  <w:style w:type="character" w:customStyle="1" w:styleId="s6b621b36">
    <w:name w:val="s6b621b36"/>
    <w:basedOn w:val="VarsaylanParagrafYazTipi"/>
    <w:rsid w:val="00CF3555"/>
  </w:style>
  <w:style w:type="character" w:styleId="Kpr">
    <w:name w:val="Hyperlink"/>
    <w:basedOn w:val="VarsaylanParagrafYazTipi"/>
    <w:uiPriority w:val="98"/>
    <w:unhideWhenUsed/>
    <w:rsid w:val="00CF3555"/>
    <w:rPr>
      <w:color w:val="0000FF"/>
      <w:u w:val="single"/>
    </w:rPr>
  </w:style>
  <w:style w:type="paragraph" w:styleId="ListeParagraf">
    <w:name w:val="List Paragraph"/>
    <w:basedOn w:val="Normal"/>
    <w:uiPriority w:val="98"/>
    <w:qFormat/>
    <w:rsid w:val="003820C1"/>
    <w:pPr>
      <w:ind w:left="720"/>
      <w:contextualSpacing/>
    </w:pPr>
  </w:style>
  <w:style w:type="paragraph" w:customStyle="1" w:styleId="s3d0e19d8">
    <w:name w:val="s3d0e19d8"/>
    <w:basedOn w:val="Normal"/>
    <w:rsid w:val="000E2D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dfc50a6a">
    <w:name w:val="sdfc50a6a"/>
    <w:basedOn w:val="VarsaylanParagrafYazTipi"/>
    <w:rsid w:val="000E2D20"/>
  </w:style>
  <w:style w:type="paragraph" w:customStyle="1" w:styleId="sb742a064">
    <w:name w:val="sb742a064"/>
    <w:basedOn w:val="Normal"/>
    <w:rsid w:val="000E2D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31bdce12">
    <w:name w:val="s31bdce12"/>
    <w:basedOn w:val="Normal"/>
    <w:rsid w:val="000E2D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52c23de3">
    <w:name w:val="s52c23de3"/>
    <w:basedOn w:val="VarsaylanParagrafYazTipi"/>
    <w:rsid w:val="00137AB0"/>
  </w:style>
  <w:style w:type="paragraph" w:customStyle="1" w:styleId="sf7473237">
    <w:name w:val="sf7473237"/>
    <w:basedOn w:val="Normal"/>
    <w:rsid w:val="000969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be438969">
    <w:name w:val="sbe438969"/>
    <w:basedOn w:val="Normal"/>
    <w:rsid w:val="000969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545313ee">
    <w:name w:val="s545313ee"/>
    <w:basedOn w:val="VarsaylanParagrafYazTipi"/>
    <w:rsid w:val="00096981"/>
  </w:style>
  <w:style w:type="paragraph" w:customStyle="1" w:styleId="sc9afb02f">
    <w:name w:val="sc9afb02f"/>
    <w:basedOn w:val="Normal"/>
    <w:rsid w:val="00657F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8042dbaf">
    <w:name w:val="s8042dbaf"/>
    <w:basedOn w:val="Normal"/>
    <w:rsid w:val="00657F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8"/>
    <w:rsid w:val="00EA20F2"/>
    <w:pPr>
      <w:tabs>
        <w:tab w:val="center" w:pos="3686"/>
        <w:tab w:val="right" w:pos="7371"/>
      </w:tabs>
      <w:spacing w:after="0" w:line="240" w:lineRule="auto"/>
    </w:pPr>
    <w:rPr>
      <w:sz w:val="24"/>
      <w:szCs w:val="24"/>
      <w:lang w:val="en-GB"/>
    </w:rPr>
  </w:style>
  <w:style w:type="character" w:customStyle="1" w:styleId="AltBilgiChar">
    <w:name w:val="Alt Bilgi Char"/>
    <w:basedOn w:val="VarsaylanParagrafYazTipi"/>
    <w:link w:val="AltBilgi"/>
    <w:uiPriority w:val="98"/>
    <w:rsid w:val="00EA20F2"/>
    <w:rPr>
      <w:sz w:val="24"/>
      <w:szCs w:val="24"/>
      <w:lang w:val="en-GB"/>
    </w:rPr>
  </w:style>
  <w:style w:type="paragraph" w:customStyle="1" w:styleId="sc2bc8de">
    <w:name w:val="sc2bc8de"/>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fec2223a">
    <w:name w:val="sfec2223a"/>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32b251d">
    <w:name w:val="s32b251d"/>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14b2d8fa">
    <w:name w:val="s14b2d8fa"/>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e070d1d">
    <w:name w:val="sae070d1d"/>
    <w:basedOn w:val="VarsaylanParagrafYazTipi"/>
    <w:rsid w:val="00EA20F2"/>
  </w:style>
  <w:style w:type="character" w:customStyle="1" w:styleId="s2359e37b">
    <w:name w:val="s2359e37b"/>
    <w:basedOn w:val="VarsaylanParagrafYazTipi"/>
    <w:rsid w:val="00EA20F2"/>
  </w:style>
  <w:style w:type="paragraph" w:customStyle="1" w:styleId="s40d81e53">
    <w:name w:val="s40d81e53"/>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75c4028b">
    <w:name w:val="s75c4028b"/>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9d7775ae">
    <w:name w:val="s9d7775ae"/>
    <w:basedOn w:val="Normal"/>
    <w:rsid w:val="00EA20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7a33bb7">
    <w:name w:val="s17a33bb7"/>
    <w:basedOn w:val="VarsaylanParagrafYazTipi"/>
    <w:rsid w:val="00EA20F2"/>
  </w:style>
  <w:style w:type="paragraph" w:styleId="stBilgi">
    <w:name w:val="header"/>
    <w:basedOn w:val="Normal"/>
    <w:link w:val="stBilgiChar"/>
    <w:uiPriority w:val="98"/>
    <w:unhideWhenUsed/>
    <w:rsid w:val="00EA20F2"/>
    <w:pPr>
      <w:tabs>
        <w:tab w:val="center" w:pos="4536"/>
        <w:tab w:val="right" w:pos="9072"/>
      </w:tabs>
      <w:spacing w:after="0" w:line="240" w:lineRule="auto"/>
    </w:pPr>
  </w:style>
  <w:style w:type="character" w:customStyle="1" w:styleId="stBilgiChar">
    <w:name w:val="Üst Bilgi Char"/>
    <w:basedOn w:val="VarsaylanParagrafYazTipi"/>
    <w:link w:val="stBilgi"/>
    <w:uiPriority w:val="98"/>
    <w:rsid w:val="00EA20F2"/>
  </w:style>
  <w:style w:type="paragraph" w:customStyle="1" w:styleId="s9e9b0cd7">
    <w:name w:val="s9e9b0cd7"/>
    <w:basedOn w:val="Normal"/>
    <w:rsid w:val="006838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fbbfee58">
    <w:name w:val="sfbbfee58"/>
    <w:basedOn w:val="VarsaylanParagrafYazTipi"/>
    <w:rsid w:val="00683825"/>
  </w:style>
  <w:style w:type="numbering" w:customStyle="1" w:styleId="ListeYok1">
    <w:name w:val="Liste Yok1"/>
    <w:next w:val="ListeYok"/>
    <w:uiPriority w:val="99"/>
    <w:semiHidden/>
    <w:unhideWhenUsed/>
    <w:rsid w:val="00E103AC"/>
  </w:style>
  <w:style w:type="paragraph" w:customStyle="1" w:styleId="sc980addc">
    <w:name w:val="sc980addc"/>
    <w:basedOn w:val="Normal"/>
    <w:rsid w:val="00E103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438326f5">
    <w:name w:val="s438326f5"/>
    <w:basedOn w:val="Normal"/>
    <w:rsid w:val="00E103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a844bc0">
    <w:name w:val="s1a844bc0"/>
    <w:basedOn w:val="VarsaylanParagrafYazTipi"/>
    <w:rsid w:val="00E103AC"/>
  </w:style>
  <w:style w:type="paragraph" w:customStyle="1" w:styleId="sc65f1711">
    <w:name w:val="sc65f1711"/>
    <w:basedOn w:val="Normal"/>
    <w:rsid w:val="00E103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faa246d1">
    <w:name w:val="sfaa246d1"/>
    <w:basedOn w:val="VarsaylanParagrafYazTipi"/>
    <w:rsid w:val="00E103AC"/>
  </w:style>
  <w:style w:type="paragraph" w:customStyle="1" w:styleId="s30eeaf79">
    <w:name w:val="s30eeaf79"/>
    <w:basedOn w:val="Normal"/>
    <w:rsid w:val="00E103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5f8fbd9">
    <w:name w:val="s25f8fbd9"/>
    <w:basedOn w:val="VarsaylanParagrafYazTipi"/>
    <w:rsid w:val="00E103AC"/>
  </w:style>
  <w:style w:type="paragraph" w:styleId="NormalWeb">
    <w:name w:val="Normal (Web)"/>
    <w:basedOn w:val="Normal"/>
    <w:uiPriority w:val="98"/>
    <w:semiHidden/>
    <w:unhideWhenUsed/>
    <w:rsid w:val="00E103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284a4344">
    <w:name w:val="s284a4344"/>
    <w:basedOn w:val="Normal"/>
    <w:rsid w:val="00E103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JuQuot">
    <w:name w:val="Ju_Quot"/>
    <w:aliases w:val="_Quote"/>
    <w:basedOn w:val="Normal"/>
    <w:link w:val="JuQuotChar"/>
    <w:uiPriority w:val="20"/>
    <w:qFormat/>
    <w:rsid w:val="005B5EC2"/>
    <w:pPr>
      <w:spacing w:before="120" w:after="120" w:line="240" w:lineRule="auto"/>
      <w:ind w:left="425" w:firstLine="142"/>
      <w:jc w:val="both"/>
    </w:pPr>
    <w:rPr>
      <w:sz w:val="20"/>
      <w:szCs w:val="24"/>
      <w:lang w:val="en-GB"/>
    </w:rPr>
  </w:style>
  <w:style w:type="paragraph" w:customStyle="1" w:styleId="JuHHead">
    <w:name w:val="Ju_H_Head"/>
    <w:aliases w:val="_Head_1"/>
    <w:basedOn w:val="Balk1"/>
    <w:next w:val="JuPara"/>
    <w:uiPriority w:val="17"/>
    <w:qFormat/>
    <w:rsid w:val="005B5EC2"/>
    <w:pPr>
      <w:numPr>
        <w:numId w:val="5"/>
      </w:numPr>
      <w:tabs>
        <w:tab w:val="num" w:pos="720"/>
      </w:tabs>
      <w:spacing w:beforeAutospacing="1" w:line="240" w:lineRule="auto"/>
      <w:ind w:left="720" w:hanging="360"/>
    </w:pPr>
    <w:rPr>
      <w:bCs/>
      <w:caps w:val="0"/>
      <w:color w:val="auto"/>
      <w:sz w:val="28"/>
      <w:szCs w:val="28"/>
      <w:lang w:val="en-GB"/>
    </w:rPr>
  </w:style>
  <w:style w:type="paragraph" w:customStyle="1" w:styleId="JuHIRoman">
    <w:name w:val="Ju_H_I_Roman"/>
    <w:aliases w:val="_Head_2,ECHR_Heading_2,Head_2"/>
    <w:basedOn w:val="Balk2"/>
    <w:next w:val="JuPara"/>
    <w:link w:val="JuHIRomanChar"/>
    <w:uiPriority w:val="20"/>
    <w:qFormat/>
    <w:rsid w:val="005B5EC2"/>
    <w:pPr>
      <w:numPr>
        <w:ilvl w:val="1"/>
        <w:numId w:val="5"/>
      </w:numPr>
      <w:tabs>
        <w:tab w:val="left" w:pos="454"/>
        <w:tab w:val="left" w:pos="567"/>
        <w:tab w:val="left" w:pos="680"/>
      </w:tabs>
      <w:spacing w:before="100" w:beforeAutospacing="1" w:after="240" w:line="240" w:lineRule="auto"/>
    </w:pPr>
    <w:rPr>
      <w:bCs/>
      <w:caps/>
      <w:color w:val="auto"/>
      <w:lang w:val="en-GB"/>
    </w:rPr>
  </w:style>
  <w:style w:type="paragraph" w:customStyle="1" w:styleId="JuHA">
    <w:name w:val="Ju_H_A"/>
    <w:aliases w:val="_Head_3"/>
    <w:basedOn w:val="Balk3"/>
    <w:next w:val="JuPara"/>
    <w:uiPriority w:val="17"/>
    <w:qFormat/>
    <w:rsid w:val="005B5EC2"/>
    <w:pPr>
      <w:numPr>
        <w:ilvl w:val="2"/>
        <w:numId w:val="5"/>
      </w:numPr>
      <w:tabs>
        <w:tab w:val="num" w:pos="2160"/>
      </w:tabs>
      <w:spacing w:before="100" w:beforeAutospacing="1" w:after="240" w:line="240" w:lineRule="auto"/>
      <w:ind w:left="2160" w:hanging="360"/>
    </w:pPr>
    <w:rPr>
      <w:b w:val="0"/>
      <w:bCs/>
      <w:color w:val="auto"/>
      <w:szCs w:val="22"/>
      <w:lang w:val="en-GB"/>
    </w:rPr>
  </w:style>
  <w:style w:type="paragraph" w:customStyle="1" w:styleId="JuH1">
    <w:name w:val="Ju_H_1."/>
    <w:aliases w:val="_Head_4,ECHR_Heading_4"/>
    <w:basedOn w:val="Balk4"/>
    <w:next w:val="JuPara"/>
    <w:uiPriority w:val="17"/>
    <w:qFormat/>
    <w:rsid w:val="005B5EC2"/>
    <w:pPr>
      <w:numPr>
        <w:ilvl w:val="3"/>
        <w:numId w:val="5"/>
      </w:numPr>
      <w:tabs>
        <w:tab w:val="num" w:pos="2880"/>
      </w:tabs>
      <w:spacing w:before="100" w:beforeAutospacing="1" w:after="120" w:line="240" w:lineRule="auto"/>
      <w:ind w:left="2880" w:hanging="360"/>
    </w:pPr>
    <w:rPr>
      <w:bCs/>
      <w:color w:val="auto"/>
      <w:sz w:val="24"/>
      <w:lang w:val="en-GB"/>
    </w:rPr>
  </w:style>
  <w:style w:type="paragraph" w:customStyle="1" w:styleId="JuHa0">
    <w:name w:val="Ju_H_a"/>
    <w:aliases w:val="_Head_5"/>
    <w:basedOn w:val="Balk5"/>
    <w:next w:val="JuPara"/>
    <w:uiPriority w:val="17"/>
    <w:rsid w:val="005B5EC2"/>
    <w:pPr>
      <w:numPr>
        <w:ilvl w:val="4"/>
        <w:numId w:val="5"/>
      </w:numPr>
      <w:tabs>
        <w:tab w:val="num" w:pos="3600"/>
      </w:tabs>
      <w:spacing w:before="100" w:beforeAutospacing="1" w:after="120" w:line="240" w:lineRule="auto"/>
      <w:ind w:left="3600" w:hanging="360"/>
    </w:pPr>
    <w:rPr>
      <w:b/>
      <w:bCs/>
      <w:color w:val="auto"/>
      <w:sz w:val="20"/>
      <w:lang w:val="en-GB"/>
    </w:rPr>
  </w:style>
  <w:style w:type="paragraph" w:customStyle="1" w:styleId="JuHi">
    <w:name w:val="Ju_H_i"/>
    <w:aliases w:val="_Head_6"/>
    <w:basedOn w:val="Balk6"/>
    <w:next w:val="JuPara"/>
    <w:link w:val="JuHiChar"/>
    <w:uiPriority w:val="17"/>
    <w:rsid w:val="005B5EC2"/>
    <w:pPr>
      <w:numPr>
        <w:ilvl w:val="5"/>
        <w:numId w:val="5"/>
      </w:numPr>
      <w:tabs>
        <w:tab w:val="left" w:pos="1077"/>
        <w:tab w:val="left" w:pos="1134"/>
        <w:tab w:val="left" w:pos="1191"/>
        <w:tab w:val="left" w:pos="1247"/>
        <w:tab w:val="num" w:pos="4320"/>
      </w:tabs>
      <w:spacing w:before="100" w:beforeAutospacing="1" w:after="120" w:line="271" w:lineRule="auto"/>
      <w:ind w:left="4320" w:hanging="360"/>
      <w:jc w:val="both"/>
    </w:pPr>
    <w:rPr>
      <w:bCs/>
      <w:i/>
      <w:iCs/>
      <w:color w:val="auto"/>
      <w:sz w:val="20"/>
      <w:lang w:val="en-GB" w:bidi="en-US"/>
    </w:rPr>
  </w:style>
  <w:style w:type="paragraph" w:customStyle="1" w:styleId="JuHalpha">
    <w:name w:val="Ju_H_alpha"/>
    <w:aliases w:val="_Head_7"/>
    <w:basedOn w:val="Balk7"/>
    <w:next w:val="JuPara"/>
    <w:uiPriority w:val="17"/>
    <w:rsid w:val="005B5EC2"/>
    <w:pPr>
      <w:numPr>
        <w:ilvl w:val="6"/>
        <w:numId w:val="5"/>
      </w:numPr>
      <w:tabs>
        <w:tab w:val="left" w:pos="1361"/>
        <w:tab w:val="num" w:pos="5040"/>
      </w:tabs>
      <w:spacing w:before="100" w:beforeAutospacing="1" w:after="120" w:line="240" w:lineRule="auto"/>
      <w:ind w:left="5040" w:hanging="360"/>
      <w:jc w:val="both"/>
    </w:pPr>
    <w:rPr>
      <w:i w:val="0"/>
      <w:color w:val="auto"/>
      <w:sz w:val="20"/>
      <w:lang w:val="en-GB" w:bidi="en-US"/>
    </w:rPr>
  </w:style>
  <w:style w:type="paragraph" w:customStyle="1" w:styleId="JuH">
    <w:name w:val="Ju_H_–"/>
    <w:aliases w:val="_Head_8"/>
    <w:basedOn w:val="Balk8"/>
    <w:next w:val="JuPara"/>
    <w:uiPriority w:val="17"/>
    <w:rsid w:val="005B5EC2"/>
    <w:pPr>
      <w:numPr>
        <w:ilvl w:val="7"/>
        <w:numId w:val="5"/>
      </w:numPr>
      <w:tabs>
        <w:tab w:val="num" w:pos="5760"/>
      </w:tabs>
      <w:spacing w:before="100" w:beforeAutospacing="1" w:after="120" w:line="240" w:lineRule="auto"/>
      <w:ind w:left="5760" w:hanging="360"/>
      <w:jc w:val="both"/>
    </w:pPr>
    <w:rPr>
      <w:i/>
      <w:color w:val="auto"/>
      <w:sz w:val="20"/>
      <w:szCs w:val="20"/>
      <w:lang w:val="en-GB" w:bidi="en-US"/>
    </w:rPr>
  </w:style>
  <w:style w:type="paragraph" w:customStyle="1" w:styleId="JuPara">
    <w:name w:val="Ju_Para"/>
    <w:aliases w:val="_Para,ECHR_Para,Para,N_Para,First line:  0 cm,Left"/>
    <w:basedOn w:val="Normal"/>
    <w:link w:val="JuParaChar"/>
    <w:uiPriority w:val="4"/>
    <w:qFormat/>
    <w:rsid w:val="005B5EC2"/>
    <w:pPr>
      <w:spacing w:after="0" w:line="240" w:lineRule="auto"/>
      <w:ind w:firstLine="284"/>
      <w:jc w:val="both"/>
    </w:pPr>
    <w:rPr>
      <w:sz w:val="24"/>
      <w:szCs w:val="24"/>
      <w:lang w:val="en-GB"/>
    </w:rPr>
  </w:style>
  <w:style w:type="paragraph" w:customStyle="1" w:styleId="ECHRHeading9">
    <w:name w:val="ECHR_Heading_9"/>
    <w:aliases w:val="_Head_9"/>
    <w:basedOn w:val="Balk9"/>
    <w:uiPriority w:val="17"/>
    <w:semiHidden/>
    <w:rsid w:val="005B5EC2"/>
    <w:pPr>
      <w:numPr>
        <w:ilvl w:val="8"/>
        <w:numId w:val="5"/>
      </w:numPr>
      <w:tabs>
        <w:tab w:val="num" w:pos="6480"/>
      </w:tabs>
      <w:spacing w:before="100" w:beforeAutospacing="1" w:line="240" w:lineRule="auto"/>
      <w:ind w:left="6480" w:hanging="360"/>
      <w:contextualSpacing/>
      <w:jc w:val="both"/>
    </w:pPr>
    <w:rPr>
      <w:i w:val="0"/>
      <w:color w:val="auto"/>
      <w:spacing w:val="5"/>
      <w:sz w:val="18"/>
      <w:szCs w:val="20"/>
      <w:lang w:val="en-GB" w:bidi="en-US"/>
    </w:rPr>
  </w:style>
  <w:style w:type="character" w:customStyle="1" w:styleId="JuParaChar">
    <w:name w:val="Ju_Para Char"/>
    <w:aliases w:val="_Para Char,ECHR_Para Char"/>
    <w:link w:val="JuPara"/>
    <w:uiPriority w:val="4"/>
    <w:rsid w:val="005B5EC2"/>
    <w:rPr>
      <w:sz w:val="24"/>
      <w:szCs w:val="24"/>
      <w:lang w:val="en-GB"/>
    </w:rPr>
  </w:style>
  <w:style w:type="character" w:customStyle="1" w:styleId="JuQuotChar">
    <w:name w:val="Ju_Quot Char"/>
    <w:basedOn w:val="VarsaylanParagrafYazTipi"/>
    <w:link w:val="JuQuot"/>
    <w:uiPriority w:val="20"/>
    <w:locked/>
    <w:rsid w:val="005B5EC2"/>
    <w:rPr>
      <w:sz w:val="20"/>
      <w:szCs w:val="24"/>
      <w:lang w:val="en-GB"/>
    </w:rPr>
  </w:style>
  <w:style w:type="character" w:customStyle="1" w:styleId="JuHIRomanChar">
    <w:name w:val="Ju_H_I_Roman Char"/>
    <w:basedOn w:val="VarsaylanParagrafYazTipi"/>
    <w:link w:val="JuHIRoman"/>
    <w:uiPriority w:val="17"/>
    <w:locked/>
    <w:rsid w:val="005B5EC2"/>
    <w:rPr>
      <w:rFonts w:ascii="Times New Roman" w:eastAsia="Times New Roman" w:hAnsi="Times New Roman" w:cs="Times New Roman"/>
      <w:bCs/>
      <w:i/>
      <w:caps/>
      <w:sz w:val="24"/>
      <w:szCs w:val="24"/>
      <w:shd w:val="clear" w:color="auto" w:fill="FFFFFF"/>
      <w:lang w:val="en-GB" w:eastAsia="tr-TR"/>
    </w:rPr>
  </w:style>
  <w:style w:type="character" w:customStyle="1" w:styleId="Balk1Char">
    <w:name w:val="Başlık 1 Char"/>
    <w:basedOn w:val="VarsaylanParagrafYazTipi"/>
    <w:link w:val="Balk1"/>
    <w:uiPriority w:val="98"/>
    <w:rsid w:val="007A3A8D"/>
    <w:rPr>
      <w:rFonts w:ascii="Times New Roman" w:eastAsia="Times New Roman" w:hAnsi="Times New Roman" w:cs="Times New Roman"/>
      <w:caps/>
      <w:color w:val="000000"/>
      <w:sz w:val="24"/>
      <w:szCs w:val="24"/>
      <w:shd w:val="clear" w:color="auto" w:fill="FFFFFF"/>
      <w:lang w:eastAsia="tr-TR"/>
    </w:rPr>
  </w:style>
  <w:style w:type="character" w:customStyle="1" w:styleId="Balk2Char">
    <w:name w:val="Başlık 2 Char"/>
    <w:basedOn w:val="VarsaylanParagrafYazTipi"/>
    <w:link w:val="Balk2"/>
    <w:uiPriority w:val="98"/>
    <w:rsid w:val="000F355E"/>
    <w:rPr>
      <w:rFonts w:ascii="Times New Roman" w:eastAsia="Times New Roman" w:hAnsi="Times New Roman" w:cs="Times New Roman"/>
      <w:i/>
      <w:color w:val="000000"/>
      <w:sz w:val="24"/>
      <w:szCs w:val="24"/>
      <w:shd w:val="clear" w:color="auto" w:fill="FFFFFF"/>
      <w:lang w:eastAsia="tr-TR"/>
    </w:rPr>
  </w:style>
  <w:style w:type="character" w:customStyle="1" w:styleId="Balk3Char">
    <w:name w:val="Başlık 3 Char"/>
    <w:basedOn w:val="VarsaylanParagrafYazTipi"/>
    <w:link w:val="Balk3"/>
    <w:uiPriority w:val="98"/>
    <w:rsid w:val="008273E0"/>
    <w:rPr>
      <w:rFonts w:ascii="Times New Roman" w:eastAsia="Times New Roman" w:hAnsi="Times New Roman" w:cs="Times New Roman"/>
      <w:b/>
      <w:color w:val="000000"/>
      <w:szCs w:val="24"/>
      <w:shd w:val="clear" w:color="auto" w:fill="FFFFFF"/>
      <w:lang w:eastAsia="tr-TR"/>
    </w:rPr>
  </w:style>
  <w:style w:type="character" w:customStyle="1" w:styleId="Balk4Char">
    <w:name w:val="Başlık 4 Char"/>
    <w:basedOn w:val="VarsaylanParagrafYazTipi"/>
    <w:link w:val="Balk4"/>
    <w:uiPriority w:val="98"/>
    <w:rsid w:val="008273E0"/>
    <w:rPr>
      <w:rFonts w:ascii="Times New Roman" w:eastAsia="Times New Roman" w:hAnsi="Times New Roman" w:cs="Times New Roman"/>
      <w:i/>
      <w:color w:val="000000"/>
      <w:szCs w:val="24"/>
      <w:shd w:val="clear" w:color="auto" w:fill="FFFFFF"/>
      <w:lang w:eastAsia="tr-TR"/>
    </w:rPr>
  </w:style>
  <w:style w:type="character" w:customStyle="1" w:styleId="Balk5Char">
    <w:name w:val="Başlık 5 Char"/>
    <w:basedOn w:val="VarsaylanParagrafYazTipi"/>
    <w:link w:val="Balk5"/>
    <w:uiPriority w:val="98"/>
    <w:rsid w:val="00DB7842"/>
    <w:rPr>
      <w:rFonts w:ascii="Times New Roman" w:eastAsia="Times New Roman" w:hAnsi="Times New Roman" w:cs="Times New Roman"/>
      <w:color w:val="000000"/>
      <w:szCs w:val="24"/>
      <w:shd w:val="clear" w:color="auto" w:fill="FFFFFF"/>
      <w:lang w:eastAsia="tr-TR"/>
    </w:rPr>
  </w:style>
  <w:style w:type="character" w:customStyle="1" w:styleId="Balk6Char">
    <w:name w:val="Başlık 6 Char"/>
    <w:basedOn w:val="VarsaylanParagrafYazTipi"/>
    <w:link w:val="Balk6"/>
    <w:uiPriority w:val="98"/>
    <w:semiHidden/>
    <w:rsid w:val="005B5EC2"/>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8"/>
    <w:semiHidden/>
    <w:rsid w:val="005B5EC2"/>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8"/>
    <w:semiHidden/>
    <w:rsid w:val="005B5EC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8"/>
    <w:semiHidden/>
    <w:rsid w:val="005B5EC2"/>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8"/>
    <w:semiHidden/>
    <w:unhideWhenUsed/>
    <w:rsid w:val="00316C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8"/>
    <w:semiHidden/>
    <w:rsid w:val="00316CCD"/>
    <w:rPr>
      <w:rFonts w:ascii="Tahoma" w:hAnsi="Tahoma" w:cs="Tahoma"/>
      <w:sz w:val="16"/>
      <w:szCs w:val="16"/>
    </w:rPr>
  </w:style>
  <w:style w:type="table" w:styleId="TabloKlavuzu">
    <w:name w:val="Table Grid"/>
    <w:basedOn w:val="NormalTablo"/>
    <w:uiPriority w:val="39"/>
    <w:rsid w:val="0085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8"/>
    <w:semiHidden/>
    <w:unhideWhenUsed/>
    <w:rsid w:val="00C87E44"/>
    <w:pPr>
      <w:spacing w:after="0" w:line="240" w:lineRule="auto"/>
    </w:pPr>
    <w:rPr>
      <w:sz w:val="20"/>
      <w:szCs w:val="20"/>
      <w:lang w:val="en-GB"/>
    </w:rPr>
  </w:style>
  <w:style w:type="character" w:customStyle="1" w:styleId="DipnotMetniChar">
    <w:name w:val="Dipnot Metni Char"/>
    <w:basedOn w:val="VarsaylanParagrafYazTipi"/>
    <w:link w:val="DipnotMetni"/>
    <w:uiPriority w:val="98"/>
    <w:semiHidden/>
    <w:rsid w:val="00C87E44"/>
    <w:rPr>
      <w:sz w:val="20"/>
      <w:szCs w:val="20"/>
      <w:lang w:val="en-GB"/>
    </w:rPr>
  </w:style>
  <w:style w:type="character" w:styleId="DipnotBavurusu">
    <w:name w:val="footnote reference"/>
    <w:basedOn w:val="VarsaylanParagrafYazTipi"/>
    <w:uiPriority w:val="98"/>
    <w:semiHidden/>
    <w:unhideWhenUsed/>
    <w:rsid w:val="00C87E44"/>
    <w:rPr>
      <w:vertAlign w:val="superscript"/>
    </w:rPr>
  </w:style>
  <w:style w:type="paragraph" w:customStyle="1" w:styleId="DecHTitle">
    <w:name w:val="Dec_H_Title"/>
    <w:aliases w:val="_Title_1"/>
    <w:basedOn w:val="JuPara"/>
    <w:next w:val="JuPara"/>
    <w:uiPriority w:val="38"/>
    <w:qFormat/>
    <w:rsid w:val="00C87E44"/>
    <w:pPr>
      <w:ind w:firstLine="0"/>
    </w:pPr>
  </w:style>
  <w:style w:type="numbering" w:customStyle="1" w:styleId="ListeYok2">
    <w:name w:val="Liste Yok2"/>
    <w:next w:val="ListeYok"/>
    <w:uiPriority w:val="99"/>
    <w:semiHidden/>
    <w:unhideWhenUsed/>
    <w:rsid w:val="007D6614"/>
  </w:style>
  <w:style w:type="character" w:styleId="KitapBal">
    <w:name w:val="Book Title"/>
    <w:uiPriority w:val="98"/>
    <w:qFormat/>
    <w:rsid w:val="007D6614"/>
    <w:rPr>
      <w:i/>
      <w:iCs/>
      <w:smallCaps/>
      <w:spacing w:val="5"/>
    </w:rPr>
  </w:style>
  <w:style w:type="paragraph" w:customStyle="1" w:styleId="JuHeader">
    <w:name w:val="Ju_Header"/>
    <w:aliases w:val="_Header"/>
    <w:basedOn w:val="stBilgi"/>
    <w:uiPriority w:val="29"/>
    <w:qFormat/>
    <w:rsid w:val="007D6614"/>
    <w:pPr>
      <w:tabs>
        <w:tab w:val="clear" w:pos="4536"/>
        <w:tab w:val="clear" w:pos="9072"/>
      </w:tabs>
      <w:jc w:val="center"/>
    </w:pPr>
    <w:rPr>
      <w:sz w:val="18"/>
      <w:szCs w:val="24"/>
      <w:lang w:val="en-GB"/>
    </w:rPr>
  </w:style>
  <w:style w:type="paragraph" w:customStyle="1" w:styleId="NormalJustified">
    <w:name w:val="Normal_Justified"/>
    <w:basedOn w:val="Normal"/>
    <w:semiHidden/>
    <w:rsid w:val="007D6614"/>
    <w:pPr>
      <w:spacing w:after="0" w:line="240" w:lineRule="auto"/>
      <w:jc w:val="both"/>
    </w:pPr>
    <w:rPr>
      <w:sz w:val="24"/>
      <w:szCs w:val="24"/>
      <w:lang w:val="en-GB"/>
    </w:rPr>
  </w:style>
  <w:style w:type="character" w:styleId="Gl">
    <w:name w:val="Strong"/>
    <w:uiPriority w:val="98"/>
    <w:qFormat/>
    <w:rsid w:val="007D6614"/>
    <w:rPr>
      <w:b/>
      <w:bCs/>
    </w:rPr>
  </w:style>
  <w:style w:type="paragraph" w:styleId="AralkYok">
    <w:name w:val="No Spacing"/>
    <w:basedOn w:val="Normal"/>
    <w:link w:val="AralkYokChar"/>
    <w:uiPriority w:val="98"/>
    <w:qFormat/>
    <w:rsid w:val="007D6614"/>
    <w:pPr>
      <w:spacing w:after="0" w:line="240" w:lineRule="auto"/>
    </w:pPr>
    <w:rPr>
      <w:sz w:val="24"/>
      <w:szCs w:val="24"/>
      <w:lang w:val="en-GB"/>
    </w:rPr>
  </w:style>
  <w:style w:type="character" w:customStyle="1" w:styleId="AralkYokChar">
    <w:name w:val="Aralık Yok Char"/>
    <w:basedOn w:val="VarsaylanParagrafYazTipi"/>
    <w:link w:val="AralkYok"/>
    <w:uiPriority w:val="98"/>
    <w:rsid w:val="007D6614"/>
    <w:rPr>
      <w:sz w:val="24"/>
      <w:szCs w:val="24"/>
      <w:lang w:val="en-GB"/>
    </w:rPr>
  </w:style>
  <w:style w:type="paragraph" w:customStyle="1" w:styleId="ECHRBullet1">
    <w:name w:val="ECHR_Bullet_1"/>
    <w:aliases w:val="_Bul_1"/>
    <w:basedOn w:val="NormalJustified"/>
    <w:uiPriority w:val="23"/>
    <w:semiHidden/>
    <w:qFormat/>
    <w:rsid w:val="007D6614"/>
    <w:pPr>
      <w:numPr>
        <w:numId w:val="36"/>
      </w:numPr>
      <w:spacing w:before="60" w:after="60"/>
    </w:pPr>
  </w:style>
  <w:style w:type="paragraph" w:customStyle="1" w:styleId="JuList">
    <w:name w:val="Ju_List"/>
    <w:aliases w:val="_List_1"/>
    <w:basedOn w:val="NormalJustified"/>
    <w:uiPriority w:val="23"/>
    <w:qFormat/>
    <w:rsid w:val="007D6614"/>
    <w:pPr>
      <w:numPr>
        <w:numId w:val="37"/>
      </w:numPr>
      <w:spacing w:before="280" w:after="60"/>
    </w:pPr>
  </w:style>
  <w:style w:type="paragraph" w:customStyle="1" w:styleId="JuLista">
    <w:name w:val="Ju_List_a"/>
    <w:aliases w:val="_List_2"/>
    <w:basedOn w:val="NormalJustified"/>
    <w:uiPriority w:val="23"/>
    <w:rsid w:val="007D6614"/>
    <w:pPr>
      <w:numPr>
        <w:ilvl w:val="1"/>
        <w:numId w:val="37"/>
      </w:numPr>
      <w:tabs>
        <w:tab w:val="clear" w:pos="680"/>
      </w:tabs>
      <w:ind w:left="1440" w:hanging="360"/>
    </w:pPr>
  </w:style>
  <w:style w:type="paragraph" w:customStyle="1" w:styleId="JuListi">
    <w:name w:val="Ju_List_i"/>
    <w:aliases w:val="_List_3"/>
    <w:basedOn w:val="NormalJustified"/>
    <w:uiPriority w:val="23"/>
    <w:rsid w:val="007D6614"/>
    <w:pPr>
      <w:numPr>
        <w:ilvl w:val="2"/>
        <w:numId w:val="37"/>
      </w:numPr>
      <w:ind w:left="2160" w:hanging="180"/>
    </w:pPr>
  </w:style>
  <w:style w:type="paragraph" w:customStyle="1" w:styleId="JuHArticle">
    <w:name w:val="Ju_H_Article"/>
    <w:aliases w:val="_Title_Quote"/>
    <w:basedOn w:val="Normal"/>
    <w:next w:val="JuQuot"/>
    <w:uiPriority w:val="19"/>
    <w:qFormat/>
    <w:rsid w:val="007D6614"/>
    <w:pPr>
      <w:keepNext/>
      <w:spacing w:before="100" w:beforeAutospacing="1" w:after="120" w:line="240" w:lineRule="auto"/>
      <w:contextualSpacing/>
      <w:jc w:val="center"/>
    </w:pPr>
    <w:rPr>
      <w:b/>
      <w:sz w:val="20"/>
      <w:szCs w:val="24"/>
      <w:lang w:val="en-GB"/>
    </w:rPr>
  </w:style>
  <w:style w:type="paragraph" w:customStyle="1" w:styleId="JuParaLast">
    <w:name w:val="Ju_Para_Last"/>
    <w:aliases w:val="_Para_Spaced"/>
    <w:basedOn w:val="NormalJustified"/>
    <w:uiPriority w:val="5"/>
    <w:qFormat/>
    <w:rsid w:val="007D6614"/>
    <w:pPr>
      <w:keepNext/>
      <w:keepLines/>
      <w:spacing w:before="240" w:after="240"/>
      <w:ind w:firstLine="284"/>
    </w:pPr>
  </w:style>
  <w:style w:type="paragraph" w:customStyle="1" w:styleId="JuTitle">
    <w:name w:val="Ju_Title"/>
    <w:aliases w:val="_Title_2"/>
    <w:basedOn w:val="Normal"/>
    <w:next w:val="JuPara"/>
    <w:uiPriority w:val="38"/>
    <w:qFormat/>
    <w:rsid w:val="007D6614"/>
    <w:pPr>
      <w:keepNext/>
      <w:keepLines/>
      <w:spacing w:before="1320" w:after="280" w:line="240" w:lineRule="auto"/>
      <w:contextualSpacing/>
      <w:jc w:val="center"/>
    </w:pPr>
    <w:rPr>
      <w:b/>
      <w:sz w:val="24"/>
      <w:szCs w:val="24"/>
      <w:lang w:val="en-GB"/>
    </w:rPr>
  </w:style>
  <w:style w:type="paragraph" w:customStyle="1" w:styleId="ECHRCoverTitle4">
    <w:name w:val="ECHR_Cover_Title_4"/>
    <w:aliases w:val="_Title_4"/>
    <w:basedOn w:val="JuPara"/>
    <w:next w:val="JuPara"/>
    <w:uiPriority w:val="38"/>
    <w:qFormat/>
    <w:rsid w:val="007D6614"/>
    <w:pPr>
      <w:keepNext/>
      <w:keepLines/>
      <w:tabs>
        <w:tab w:val="right" w:pos="7938"/>
      </w:tabs>
      <w:ind w:firstLine="0"/>
      <w:jc w:val="center"/>
    </w:pPr>
    <w:rPr>
      <w:i/>
    </w:rPr>
  </w:style>
  <w:style w:type="paragraph" w:customStyle="1" w:styleId="KonuBal1">
    <w:name w:val="Konu Başlığı1"/>
    <w:basedOn w:val="Normal"/>
    <w:next w:val="Normal"/>
    <w:uiPriority w:val="98"/>
    <w:semiHidden/>
    <w:qFormat/>
    <w:rsid w:val="007D6614"/>
    <w:pPr>
      <w:pBdr>
        <w:bottom w:val="single" w:sz="4" w:space="1" w:color="auto"/>
      </w:pBdr>
      <w:spacing w:after="0" w:line="240" w:lineRule="auto"/>
      <w:contextualSpacing/>
    </w:pPr>
    <w:rPr>
      <w:rFonts w:ascii="Times New Roman" w:eastAsia="MS Gothic" w:hAnsi="Times New Roman" w:cs="Microsoft Himalaya"/>
      <w:spacing w:val="5"/>
      <w:sz w:val="52"/>
      <w:szCs w:val="52"/>
      <w:lang w:val="en-GB" w:bidi="en-US"/>
    </w:rPr>
  </w:style>
  <w:style w:type="character" w:customStyle="1" w:styleId="KonuBalChar">
    <w:name w:val="Konu Başlığı Char"/>
    <w:basedOn w:val="VarsaylanParagrafYazTipi"/>
    <w:link w:val="KonuBal"/>
    <w:uiPriority w:val="98"/>
    <w:semiHidden/>
    <w:rsid w:val="007D6614"/>
    <w:rPr>
      <w:rFonts w:ascii="Times New Roman" w:eastAsia="MS Gothic" w:hAnsi="Times New Roman" w:cs="Microsoft Himalaya"/>
      <w:spacing w:val="5"/>
      <w:sz w:val="52"/>
      <w:szCs w:val="52"/>
      <w:lang w:val="en-GB" w:bidi="en-US"/>
    </w:rPr>
  </w:style>
  <w:style w:type="numbering" w:customStyle="1" w:styleId="ECHRA1StyleBulletedSquare">
    <w:name w:val="ECHR_A1_Style_Bulleted_Square"/>
    <w:basedOn w:val="ListeYok"/>
    <w:rsid w:val="007D6614"/>
    <w:pPr>
      <w:numPr>
        <w:numId w:val="36"/>
      </w:numPr>
    </w:pPr>
  </w:style>
  <w:style w:type="numbering" w:customStyle="1" w:styleId="ECHRA1StyleList">
    <w:name w:val="ECHR_A1_Style_List"/>
    <w:basedOn w:val="ListeYok"/>
    <w:uiPriority w:val="99"/>
    <w:rsid w:val="007D6614"/>
    <w:pPr>
      <w:numPr>
        <w:numId w:val="37"/>
      </w:numPr>
    </w:pPr>
  </w:style>
  <w:style w:type="numbering" w:customStyle="1" w:styleId="ECHRA1StyleNumberedList">
    <w:name w:val="ECHR_A1_Style_Numbered_List"/>
    <w:basedOn w:val="ListeYok"/>
    <w:rsid w:val="007D6614"/>
    <w:pPr>
      <w:numPr>
        <w:numId w:val="38"/>
      </w:numPr>
    </w:pPr>
  </w:style>
  <w:style w:type="table" w:customStyle="1" w:styleId="ECHRTable2019">
    <w:name w:val="ECHR_Table_2019"/>
    <w:basedOn w:val="NormalTablo"/>
    <w:uiPriority w:val="99"/>
    <w:rsid w:val="007D6614"/>
    <w:pPr>
      <w:spacing w:after="0" w:line="240" w:lineRule="auto"/>
    </w:pPr>
    <w:rPr>
      <w:sz w:val="24"/>
      <w:szCs w:val="24"/>
      <w:lang w:val="en-US"/>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AltBilgi"/>
    <w:uiPriority w:val="57"/>
    <w:semiHidden/>
    <w:rsid w:val="007D6614"/>
    <w:rPr>
      <w:sz w:val="8"/>
    </w:rPr>
  </w:style>
  <w:style w:type="paragraph" w:customStyle="1" w:styleId="JuCourt">
    <w:name w:val="Ju_Court"/>
    <w:aliases w:val="_Court_Names"/>
    <w:basedOn w:val="Normal"/>
    <w:next w:val="Normal"/>
    <w:uiPriority w:val="32"/>
    <w:qFormat/>
    <w:rsid w:val="007D6614"/>
    <w:pPr>
      <w:tabs>
        <w:tab w:val="left" w:pos="907"/>
        <w:tab w:val="left" w:pos="1701"/>
        <w:tab w:val="right" w:pos="7371"/>
      </w:tabs>
      <w:spacing w:before="240" w:after="0" w:line="240" w:lineRule="auto"/>
      <w:ind w:left="397" w:hanging="397"/>
    </w:pPr>
    <w:rPr>
      <w:sz w:val="24"/>
      <w:szCs w:val="24"/>
      <w:lang w:val="en-GB" w:bidi="en-US"/>
    </w:rPr>
  </w:style>
  <w:style w:type="paragraph" w:customStyle="1" w:styleId="JuJudges">
    <w:name w:val="Ju_Judges"/>
    <w:aliases w:val="_Judges"/>
    <w:basedOn w:val="Normal"/>
    <w:uiPriority w:val="32"/>
    <w:qFormat/>
    <w:rsid w:val="007D6614"/>
    <w:pPr>
      <w:tabs>
        <w:tab w:val="left" w:pos="567"/>
        <w:tab w:val="left" w:pos="1134"/>
      </w:tabs>
      <w:spacing w:after="0" w:line="240" w:lineRule="auto"/>
    </w:pPr>
    <w:rPr>
      <w:sz w:val="24"/>
      <w:szCs w:val="24"/>
      <w:lang w:val="en-GB"/>
    </w:rPr>
  </w:style>
  <w:style w:type="paragraph" w:customStyle="1" w:styleId="JuInitialled">
    <w:name w:val="Ju_Initialled"/>
    <w:aliases w:val="_Right"/>
    <w:basedOn w:val="Normal"/>
    <w:uiPriority w:val="30"/>
    <w:qFormat/>
    <w:rsid w:val="007D6614"/>
    <w:pPr>
      <w:tabs>
        <w:tab w:val="center" w:pos="6407"/>
      </w:tabs>
      <w:spacing w:before="720" w:after="0" w:line="240" w:lineRule="auto"/>
      <w:jc w:val="right"/>
    </w:pPr>
    <w:rPr>
      <w:sz w:val="24"/>
      <w:szCs w:val="24"/>
      <w:lang w:val="en-GB"/>
    </w:rPr>
  </w:style>
  <w:style w:type="character" w:customStyle="1" w:styleId="JuITMark">
    <w:name w:val="Ju_ITMark"/>
    <w:aliases w:val="_ITMark"/>
    <w:basedOn w:val="VarsaylanParagrafYazTipi"/>
    <w:uiPriority w:val="54"/>
    <w:qFormat/>
    <w:rsid w:val="007D6614"/>
    <w:rPr>
      <w:vanish w:val="0"/>
      <w:color w:val="auto"/>
      <w:sz w:val="14"/>
      <w:bdr w:val="none" w:sz="0" w:space="0" w:color="auto"/>
      <w:shd w:val="clear" w:color="auto" w:fill="BEE5FF"/>
    </w:rPr>
  </w:style>
  <w:style w:type="character" w:customStyle="1" w:styleId="JUNAMES">
    <w:name w:val="JU_NAMES"/>
    <w:aliases w:val="_Ju_Names"/>
    <w:uiPriority w:val="33"/>
    <w:qFormat/>
    <w:rsid w:val="007D6614"/>
    <w:rPr>
      <w:caps w:val="0"/>
      <w:smallCaps/>
    </w:rPr>
  </w:style>
  <w:style w:type="character" w:styleId="HafifVurgulama">
    <w:name w:val="Subtle Emphasis"/>
    <w:uiPriority w:val="98"/>
    <w:qFormat/>
    <w:rsid w:val="007D6614"/>
    <w:rPr>
      <w:i/>
      <w:iCs/>
    </w:rPr>
  </w:style>
  <w:style w:type="paragraph" w:customStyle="1" w:styleId="JuSigned">
    <w:name w:val="Ju_Signed"/>
    <w:aliases w:val="_Signature"/>
    <w:basedOn w:val="Normal"/>
    <w:next w:val="JuPara"/>
    <w:uiPriority w:val="31"/>
    <w:qFormat/>
    <w:rsid w:val="007D6614"/>
    <w:pPr>
      <w:tabs>
        <w:tab w:val="center" w:pos="851"/>
        <w:tab w:val="center" w:pos="6407"/>
      </w:tabs>
      <w:spacing w:before="720" w:after="0" w:line="240" w:lineRule="auto"/>
    </w:pPr>
    <w:rPr>
      <w:sz w:val="24"/>
      <w:szCs w:val="24"/>
      <w:lang w:val="en-GB"/>
    </w:rPr>
  </w:style>
  <w:style w:type="table" w:customStyle="1" w:styleId="ECHRTable">
    <w:name w:val="ECHR_Table"/>
    <w:basedOn w:val="NormalTablo"/>
    <w:rsid w:val="007D6614"/>
    <w:pPr>
      <w:spacing w:after="0" w:line="240" w:lineRule="auto"/>
    </w:pPr>
    <w:rPr>
      <w:rFonts w:eastAsia="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NormalTablo"/>
    <w:rsid w:val="007D6614"/>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Vurgu">
    <w:name w:val="Emphasis"/>
    <w:uiPriority w:val="98"/>
    <w:qFormat/>
    <w:rsid w:val="007D6614"/>
    <w:rPr>
      <w:b/>
      <w:bCs/>
      <w:i/>
      <w:iCs/>
      <w:spacing w:val="10"/>
      <w:bdr w:val="none" w:sz="0" w:space="0" w:color="auto"/>
      <w:shd w:val="clear" w:color="auto" w:fill="auto"/>
    </w:rPr>
  </w:style>
  <w:style w:type="character" w:styleId="GlVurgulama">
    <w:name w:val="Intense Emphasis"/>
    <w:uiPriority w:val="98"/>
    <w:qFormat/>
    <w:rsid w:val="007D6614"/>
    <w:rPr>
      <w:b/>
      <w:bCs/>
    </w:rPr>
  </w:style>
  <w:style w:type="paragraph" w:styleId="GlAlnt">
    <w:name w:val="Intense Quote"/>
    <w:basedOn w:val="Normal"/>
    <w:next w:val="Normal"/>
    <w:link w:val="GlAlntChar"/>
    <w:uiPriority w:val="98"/>
    <w:qFormat/>
    <w:rsid w:val="007D6614"/>
    <w:pPr>
      <w:pBdr>
        <w:bottom w:val="single" w:sz="4" w:space="1" w:color="auto"/>
      </w:pBdr>
      <w:spacing w:before="200" w:after="280" w:line="240" w:lineRule="auto"/>
      <w:ind w:left="1008" w:right="1152"/>
    </w:pPr>
    <w:rPr>
      <w:b/>
      <w:bCs/>
      <w:i/>
      <w:iCs/>
      <w:sz w:val="24"/>
      <w:szCs w:val="24"/>
      <w:lang w:val="en-GB" w:bidi="en-US"/>
    </w:rPr>
  </w:style>
  <w:style w:type="character" w:customStyle="1" w:styleId="GlAlntChar">
    <w:name w:val="Güçlü Alıntı Char"/>
    <w:basedOn w:val="VarsaylanParagrafYazTipi"/>
    <w:link w:val="GlAlnt"/>
    <w:uiPriority w:val="98"/>
    <w:rsid w:val="007D6614"/>
    <w:rPr>
      <w:b/>
      <w:bCs/>
      <w:i/>
      <w:iCs/>
      <w:sz w:val="24"/>
      <w:szCs w:val="24"/>
      <w:lang w:val="en-GB" w:bidi="en-US"/>
    </w:rPr>
  </w:style>
  <w:style w:type="character" w:styleId="GlBavuru">
    <w:name w:val="Intense Reference"/>
    <w:uiPriority w:val="98"/>
    <w:qFormat/>
    <w:rsid w:val="007D6614"/>
    <w:rPr>
      <w:smallCaps/>
      <w:spacing w:val="5"/>
      <w:u w:val="single"/>
    </w:rPr>
  </w:style>
  <w:style w:type="table" w:customStyle="1" w:styleId="LtrTableAddress">
    <w:name w:val="Ltr_Table_Address"/>
    <w:aliases w:val="ECHR_Ltr_Table_Address"/>
    <w:basedOn w:val="NormalTablo"/>
    <w:uiPriority w:val="99"/>
    <w:rsid w:val="007D6614"/>
    <w:pPr>
      <w:spacing w:after="0" w:line="240" w:lineRule="auto"/>
    </w:pPr>
    <w:rPr>
      <w:sz w:val="24"/>
      <w:szCs w:val="24"/>
      <w:lang w:val="en-US"/>
    </w:rPr>
    <w:tblPr>
      <w:tblInd w:w="5103" w:type="dxa"/>
    </w:tblPr>
  </w:style>
  <w:style w:type="paragraph" w:styleId="Alnt">
    <w:name w:val="Quote"/>
    <w:basedOn w:val="Normal"/>
    <w:next w:val="Normal"/>
    <w:link w:val="AlntChar"/>
    <w:uiPriority w:val="98"/>
    <w:qFormat/>
    <w:rsid w:val="007D6614"/>
    <w:pPr>
      <w:spacing w:before="200" w:after="0" w:line="240" w:lineRule="auto"/>
      <w:ind w:left="360" w:right="360"/>
    </w:pPr>
    <w:rPr>
      <w:i/>
      <w:iCs/>
      <w:sz w:val="24"/>
      <w:szCs w:val="24"/>
      <w:lang w:val="en-GB" w:bidi="en-US"/>
    </w:rPr>
  </w:style>
  <w:style w:type="character" w:customStyle="1" w:styleId="AlntChar">
    <w:name w:val="Alıntı Char"/>
    <w:basedOn w:val="VarsaylanParagrafYazTipi"/>
    <w:link w:val="Alnt"/>
    <w:uiPriority w:val="98"/>
    <w:rsid w:val="007D6614"/>
    <w:rPr>
      <w:i/>
      <w:iCs/>
      <w:sz w:val="24"/>
      <w:szCs w:val="24"/>
      <w:lang w:val="en-GB" w:bidi="en-US"/>
    </w:rPr>
  </w:style>
  <w:style w:type="character" w:styleId="HafifBavuru">
    <w:name w:val="Subtle Reference"/>
    <w:uiPriority w:val="98"/>
    <w:qFormat/>
    <w:rsid w:val="007D6614"/>
    <w:rPr>
      <w:smallCaps/>
    </w:rPr>
  </w:style>
  <w:style w:type="table" w:customStyle="1" w:styleId="TabloKlavuzu1">
    <w:name w:val="Tablo Kılavuzu1"/>
    <w:basedOn w:val="NormalTablo"/>
    <w:next w:val="TabloKlavuzu"/>
    <w:uiPriority w:val="59"/>
    <w:semiHidden/>
    <w:rsid w:val="007D6614"/>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98"/>
    <w:semiHidden/>
    <w:rsid w:val="007D6614"/>
    <w:pPr>
      <w:keepNext/>
      <w:tabs>
        <w:tab w:val="right" w:leader="dot" w:pos="7371"/>
      </w:tabs>
      <w:spacing w:before="160" w:after="60" w:line="240" w:lineRule="exact"/>
      <w:ind w:left="340" w:right="567" w:hanging="340"/>
    </w:pPr>
    <w:rPr>
      <w:b/>
      <w:szCs w:val="24"/>
      <w:lang w:val="en-GB"/>
    </w:rPr>
  </w:style>
  <w:style w:type="paragraph" w:styleId="T2">
    <w:name w:val="toc 2"/>
    <w:basedOn w:val="Normal"/>
    <w:next w:val="Normal"/>
    <w:autoRedefine/>
    <w:uiPriority w:val="98"/>
    <w:semiHidden/>
    <w:rsid w:val="007D6614"/>
    <w:pPr>
      <w:keepNext/>
      <w:tabs>
        <w:tab w:val="right" w:leader="dot" w:pos="7371"/>
      </w:tabs>
      <w:spacing w:after="60" w:line="240" w:lineRule="exact"/>
      <w:ind w:left="680" w:right="567" w:hanging="340"/>
    </w:pPr>
    <w:rPr>
      <w:szCs w:val="24"/>
      <w:lang w:val="en-GB"/>
    </w:rPr>
  </w:style>
  <w:style w:type="paragraph" w:styleId="T3">
    <w:name w:val="toc 3"/>
    <w:basedOn w:val="Normal"/>
    <w:next w:val="Normal"/>
    <w:autoRedefine/>
    <w:uiPriority w:val="98"/>
    <w:semiHidden/>
    <w:rsid w:val="007D6614"/>
    <w:pPr>
      <w:keepNext/>
      <w:tabs>
        <w:tab w:val="right" w:leader="dot" w:pos="7371"/>
      </w:tabs>
      <w:spacing w:after="60" w:line="240" w:lineRule="exact"/>
      <w:ind w:left="1020" w:right="567" w:hanging="340"/>
    </w:pPr>
    <w:rPr>
      <w:sz w:val="20"/>
      <w:szCs w:val="24"/>
      <w:lang w:val="en-GB"/>
    </w:rPr>
  </w:style>
  <w:style w:type="paragraph" w:styleId="T4">
    <w:name w:val="toc 4"/>
    <w:basedOn w:val="Normal"/>
    <w:next w:val="Normal"/>
    <w:autoRedefine/>
    <w:uiPriority w:val="98"/>
    <w:semiHidden/>
    <w:rsid w:val="007D6614"/>
    <w:pPr>
      <w:keepNext/>
      <w:tabs>
        <w:tab w:val="right" w:leader="dot" w:pos="7371"/>
      </w:tabs>
      <w:spacing w:after="60" w:line="240" w:lineRule="exact"/>
      <w:ind w:left="1361" w:right="567" w:hanging="340"/>
    </w:pPr>
    <w:rPr>
      <w:sz w:val="20"/>
      <w:szCs w:val="24"/>
      <w:lang w:val="en-GB"/>
    </w:rPr>
  </w:style>
  <w:style w:type="paragraph" w:styleId="T5">
    <w:name w:val="toc 5"/>
    <w:basedOn w:val="Normal"/>
    <w:next w:val="Normal"/>
    <w:autoRedefine/>
    <w:uiPriority w:val="98"/>
    <w:semiHidden/>
    <w:rsid w:val="007D6614"/>
    <w:pPr>
      <w:tabs>
        <w:tab w:val="right" w:leader="dot" w:pos="7371"/>
      </w:tabs>
      <w:spacing w:after="60" w:line="240" w:lineRule="exact"/>
      <w:ind w:left="1701" w:right="567" w:hanging="340"/>
    </w:pPr>
    <w:rPr>
      <w:sz w:val="20"/>
      <w:szCs w:val="24"/>
      <w:lang w:val="en-GB"/>
    </w:rPr>
  </w:style>
  <w:style w:type="paragraph" w:customStyle="1" w:styleId="TBal1">
    <w:name w:val="İÇT Başlığı1"/>
    <w:basedOn w:val="Normal"/>
    <w:next w:val="Normal"/>
    <w:uiPriority w:val="98"/>
    <w:semiHidden/>
    <w:qFormat/>
    <w:rsid w:val="007D6614"/>
    <w:pPr>
      <w:keepNext/>
      <w:keepLines/>
      <w:spacing w:before="240" w:after="0" w:line="240" w:lineRule="auto"/>
      <w:contextualSpacing/>
      <w:jc w:val="center"/>
    </w:pPr>
    <w:rPr>
      <w:rFonts w:ascii="Times New Roman" w:hAnsi="Times New Roman"/>
      <w:b/>
      <w:color w:val="474747"/>
      <w:sz w:val="28"/>
      <w:szCs w:val="24"/>
      <w:lang w:val="en-GB"/>
    </w:rPr>
  </w:style>
  <w:style w:type="table" w:customStyle="1" w:styleId="UGTable">
    <w:name w:val="UG_Table"/>
    <w:aliases w:val="ECHR_UG_Table"/>
    <w:basedOn w:val="NormalTablo"/>
    <w:uiPriority w:val="99"/>
    <w:rsid w:val="007D6614"/>
    <w:pPr>
      <w:spacing w:after="0" w:line="240" w:lineRule="auto"/>
    </w:pPr>
    <w:rPr>
      <w:rFonts w:eastAsia="MS Mincho"/>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NormalTablo"/>
    <w:uiPriority w:val="99"/>
    <w:rsid w:val="007D6614"/>
    <w:pPr>
      <w:spacing w:after="0" w:line="240" w:lineRule="auto"/>
    </w:pPr>
    <w:rPr>
      <w:rFonts w:eastAsia="MS Mincho"/>
      <w:sz w:val="24"/>
      <w:szCs w:val="24"/>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NormalTablo"/>
    <w:uiPriority w:val="99"/>
    <w:rsid w:val="007D6614"/>
    <w:pPr>
      <w:spacing w:after="0" w:line="240" w:lineRule="auto"/>
    </w:pPr>
    <w:rPr>
      <w:color w:val="000000"/>
      <w:sz w:val="18"/>
      <w:szCs w:val="24"/>
      <w:lang w:val="en-US"/>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NormalTablo"/>
    <w:uiPriority w:val="99"/>
    <w:rsid w:val="007D6614"/>
    <w:pPr>
      <w:spacing w:after="0" w:line="240" w:lineRule="auto"/>
    </w:pPr>
    <w:rPr>
      <w:color w:val="000000"/>
      <w:sz w:val="24"/>
      <w:szCs w:val="24"/>
      <w:lang w:val="en-US"/>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NormalTablo"/>
    <w:uiPriority w:val="99"/>
    <w:rsid w:val="007D6614"/>
    <w:pPr>
      <w:spacing w:after="0" w:line="240" w:lineRule="auto"/>
    </w:pPr>
    <w:rPr>
      <w:sz w:val="24"/>
      <w:szCs w:val="24"/>
      <w:lang w:val="en-US"/>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basedOn w:val="NormalTablo"/>
    <w:uiPriority w:val="99"/>
    <w:rsid w:val="007D6614"/>
    <w:pPr>
      <w:spacing w:after="0" w:line="240" w:lineRule="auto"/>
    </w:pPr>
    <w:rPr>
      <w:sz w:val="24"/>
      <w:szCs w:val="24"/>
      <w:lang w:val="en-US"/>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customStyle="1" w:styleId="KaynakaBal1">
    <w:name w:val="Kaynakça Başlığı1"/>
    <w:basedOn w:val="Normal"/>
    <w:next w:val="Normal"/>
    <w:uiPriority w:val="98"/>
    <w:semiHidden/>
    <w:rsid w:val="007D6614"/>
    <w:pPr>
      <w:keepNext/>
      <w:keepLines/>
      <w:spacing w:before="240" w:after="0" w:line="240" w:lineRule="auto"/>
      <w:contextualSpacing/>
      <w:jc w:val="center"/>
    </w:pPr>
    <w:rPr>
      <w:rFonts w:ascii="Times New Roman" w:eastAsia="MS Gothic" w:hAnsi="Times New Roman" w:cs="Microsoft Himalaya"/>
      <w:b/>
      <w:bCs/>
      <w:color w:val="474747"/>
      <w:sz w:val="28"/>
      <w:szCs w:val="24"/>
      <w:lang w:val="en-GB"/>
    </w:rPr>
  </w:style>
  <w:style w:type="paragraph" w:customStyle="1" w:styleId="Altyaz1">
    <w:name w:val="Altyazı1"/>
    <w:basedOn w:val="Normal"/>
    <w:next w:val="Normal"/>
    <w:uiPriority w:val="98"/>
    <w:semiHidden/>
    <w:qFormat/>
    <w:rsid w:val="007D6614"/>
    <w:pPr>
      <w:spacing w:after="600" w:line="240" w:lineRule="auto"/>
    </w:pPr>
    <w:rPr>
      <w:rFonts w:ascii="Times New Roman" w:eastAsia="MS Gothic" w:hAnsi="Times New Roman" w:cs="Microsoft Himalaya"/>
      <w:i/>
      <w:iCs/>
      <w:spacing w:val="13"/>
      <w:sz w:val="24"/>
      <w:szCs w:val="24"/>
      <w:lang w:val="en-GB" w:bidi="en-US"/>
    </w:rPr>
  </w:style>
  <w:style w:type="character" w:customStyle="1" w:styleId="AltyazChar">
    <w:name w:val="Altyazı Char"/>
    <w:basedOn w:val="VarsaylanParagrafYazTipi"/>
    <w:link w:val="Altyaz"/>
    <w:uiPriority w:val="98"/>
    <w:semiHidden/>
    <w:rsid w:val="007D6614"/>
    <w:rPr>
      <w:rFonts w:ascii="Times New Roman" w:eastAsia="MS Gothic" w:hAnsi="Times New Roman" w:cs="Microsoft Himalaya"/>
      <w:i/>
      <w:iCs/>
      <w:spacing w:val="13"/>
      <w:sz w:val="24"/>
      <w:szCs w:val="24"/>
      <w:lang w:val="en-GB" w:bidi="en-US"/>
    </w:rPr>
  </w:style>
  <w:style w:type="numbering" w:styleId="111111">
    <w:name w:val="Outline List 2"/>
    <w:basedOn w:val="ListeYok"/>
    <w:uiPriority w:val="99"/>
    <w:semiHidden/>
    <w:unhideWhenUsed/>
    <w:rsid w:val="007D6614"/>
    <w:pPr>
      <w:numPr>
        <w:numId w:val="33"/>
      </w:numPr>
    </w:pPr>
  </w:style>
  <w:style w:type="numbering" w:styleId="1ai">
    <w:name w:val="Outline List 1"/>
    <w:basedOn w:val="ListeYok"/>
    <w:uiPriority w:val="99"/>
    <w:semiHidden/>
    <w:unhideWhenUsed/>
    <w:rsid w:val="007D6614"/>
    <w:pPr>
      <w:numPr>
        <w:numId w:val="34"/>
      </w:numPr>
    </w:pPr>
  </w:style>
  <w:style w:type="table" w:customStyle="1" w:styleId="ECHRTableSimpleBox">
    <w:name w:val="ECHR_Table_Simple_Box"/>
    <w:basedOn w:val="NormalTablo"/>
    <w:uiPriority w:val="99"/>
    <w:rsid w:val="007D6614"/>
    <w:pPr>
      <w:spacing w:after="0" w:line="240" w:lineRule="auto"/>
    </w:pPr>
    <w:rPr>
      <w:sz w:val="24"/>
      <w:szCs w:val="24"/>
      <w:lang w:val="en-US"/>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NormalTablo"/>
    <w:uiPriority w:val="99"/>
    <w:rsid w:val="007D6614"/>
    <w:pPr>
      <w:spacing w:after="0" w:line="240" w:lineRule="auto"/>
    </w:pPr>
    <w:rPr>
      <w:sz w:val="24"/>
      <w:szCs w:val="24"/>
      <w:lang w:val="en-US"/>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MakaleBlm">
    <w:name w:val="Outline List 3"/>
    <w:basedOn w:val="ListeYok"/>
    <w:uiPriority w:val="99"/>
    <w:semiHidden/>
    <w:unhideWhenUsed/>
    <w:rsid w:val="007D6614"/>
    <w:pPr>
      <w:numPr>
        <w:numId w:val="35"/>
      </w:numPr>
    </w:pPr>
  </w:style>
  <w:style w:type="table" w:customStyle="1" w:styleId="ECHRTableForInternalUse">
    <w:name w:val="ECHR_Table_For_Internal_Use"/>
    <w:basedOn w:val="NormalTablo"/>
    <w:uiPriority w:val="99"/>
    <w:rsid w:val="007D6614"/>
    <w:pPr>
      <w:spacing w:after="0" w:line="240" w:lineRule="auto"/>
    </w:pPr>
    <w:rPr>
      <w:color w:val="636363"/>
      <w:sz w:val="18"/>
      <w:szCs w:val="24"/>
      <w:lang w:val="en-US"/>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NormalTablo"/>
    <w:uiPriority w:val="99"/>
    <w:rsid w:val="007D6614"/>
    <w:pPr>
      <w:spacing w:after="0" w:line="240" w:lineRule="auto"/>
    </w:pPr>
    <w:rPr>
      <w:sz w:val="24"/>
      <w:szCs w:val="24"/>
      <w:lang w:val="en-US"/>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Kaynaka">
    <w:name w:val="Bibliography"/>
    <w:basedOn w:val="Normal"/>
    <w:next w:val="Normal"/>
    <w:uiPriority w:val="98"/>
    <w:semiHidden/>
    <w:rsid w:val="007D6614"/>
    <w:pPr>
      <w:spacing w:after="0" w:line="240" w:lineRule="auto"/>
    </w:pPr>
    <w:rPr>
      <w:sz w:val="24"/>
      <w:szCs w:val="24"/>
      <w:lang w:val="en-GB"/>
    </w:rPr>
  </w:style>
  <w:style w:type="paragraph" w:customStyle="1" w:styleId="bekMetni1">
    <w:name w:val="Öbek Metni1"/>
    <w:basedOn w:val="Normal"/>
    <w:next w:val="bekMetni"/>
    <w:uiPriority w:val="98"/>
    <w:semiHidden/>
    <w:rsid w:val="007D6614"/>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pPr>
    <w:rPr>
      <w:i/>
      <w:iCs/>
      <w:color w:val="0072BC"/>
      <w:sz w:val="24"/>
      <w:szCs w:val="24"/>
      <w:lang w:val="en-GB"/>
    </w:rPr>
  </w:style>
  <w:style w:type="table" w:customStyle="1" w:styleId="ECHRHeaderTable">
    <w:name w:val="ECHR_Header_Table"/>
    <w:basedOn w:val="NormalTablo"/>
    <w:uiPriority w:val="99"/>
    <w:rsid w:val="007D6614"/>
    <w:pPr>
      <w:spacing w:after="0" w:line="240" w:lineRule="auto"/>
    </w:pPr>
    <w:rPr>
      <w:sz w:val="24"/>
      <w:szCs w:val="24"/>
      <w:lang w:val="en-US"/>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GvdeMetni">
    <w:name w:val="Body Text"/>
    <w:basedOn w:val="Normal"/>
    <w:link w:val="GvdeMetniChar"/>
    <w:uiPriority w:val="98"/>
    <w:semiHidden/>
    <w:rsid w:val="007D6614"/>
    <w:pPr>
      <w:spacing w:after="120" w:line="240" w:lineRule="auto"/>
    </w:pPr>
    <w:rPr>
      <w:sz w:val="24"/>
      <w:szCs w:val="24"/>
      <w:lang w:val="en-GB"/>
    </w:rPr>
  </w:style>
  <w:style w:type="character" w:customStyle="1" w:styleId="GvdeMetniChar">
    <w:name w:val="Gövde Metni Char"/>
    <w:basedOn w:val="VarsaylanParagrafYazTipi"/>
    <w:link w:val="GvdeMetni"/>
    <w:uiPriority w:val="98"/>
    <w:semiHidden/>
    <w:rsid w:val="007D6614"/>
    <w:rPr>
      <w:sz w:val="24"/>
      <w:szCs w:val="24"/>
      <w:lang w:val="en-GB"/>
    </w:rPr>
  </w:style>
  <w:style w:type="table" w:customStyle="1" w:styleId="ECHRTableOddBanded">
    <w:name w:val="ECHR_Table_Odd_Banded"/>
    <w:basedOn w:val="NormalTablo"/>
    <w:uiPriority w:val="99"/>
    <w:rsid w:val="007D6614"/>
    <w:pPr>
      <w:spacing w:after="0" w:line="240" w:lineRule="auto"/>
    </w:pPr>
    <w:rPr>
      <w:lang w:val="en-US"/>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GvdeMetni2">
    <w:name w:val="Body Text 2"/>
    <w:basedOn w:val="Normal"/>
    <w:link w:val="GvdeMetni2Char"/>
    <w:uiPriority w:val="98"/>
    <w:semiHidden/>
    <w:rsid w:val="007D6614"/>
    <w:pPr>
      <w:spacing w:after="120" w:line="480" w:lineRule="auto"/>
    </w:pPr>
    <w:rPr>
      <w:sz w:val="24"/>
      <w:szCs w:val="24"/>
      <w:lang w:val="en-GB"/>
    </w:rPr>
  </w:style>
  <w:style w:type="character" w:customStyle="1" w:styleId="GvdeMetni2Char">
    <w:name w:val="Gövde Metni 2 Char"/>
    <w:basedOn w:val="VarsaylanParagrafYazTipi"/>
    <w:link w:val="GvdeMetni2"/>
    <w:uiPriority w:val="98"/>
    <w:semiHidden/>
    <w:rsid w:val="007D6614"/>
    <w:rPr>
      <w:sz w:val="24"/>
      <w:szCs w:val="24"/>
      <w:lang w:val="en-GB"/>
    </w:rPr>
  </w:style>
  <w:style w:type="table" w:customStyle="1" w:styleId="ECHRHeaderTableReduced">
    <w:name w:val="ECHR_Header_Table_Reduced"/>
    <w:basedOn w:val="NormalTablo"/>
    <w:uiPriority w:val="99"/>
    <w:rsid w:val="007D6614"/>
    <w:pPr>
      <w:spacing w:after="0" w:line="240" w:lineRule="auto"/>
    </w:pPr>
    <w:rPr>
      <w:sz w:val="24"/>
      <w:szCs w:val="24"/>
      <w:lang w:val="en-US"/>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7D6614"/>
    <w:pPr>
      <w:spacing w:after="0" w:line="240" w:lineRule="auto"/>
      <w:ind w:firstLine="284"/>
    </w:pPr>
    <w:rPr>
      <w:b/>
      <w:sz w:val="24"/>
      <w:szCs w:val="24"/>
      <w:lang w:val="en-GB"/>
    </w:rPr>
  </w:style>
  <w:style w:type="character" w:styleId="SayfaNumaras">
    <w:name w:val="page number"/>
    <w:uiPriority w:val="99"/>
    <w:semiHidden/>
    <w:rsid w:val="007D6614"/>
    <w:rPr>
      <w:sz w:val="18"/>
    </w:rPr>
  </w:style>
  <w:style w:type="paragraph" w:styleId="ListeMaddemi">
    <w:name w:val="List Bullet"/>
    <w:basedOn w:val="Normal"/>
    <w:uiPriority w:val="98"/>
    <w:semiHidden/>
    <w:rsid w:val="007D6614"/>
    <w:pPr>
      <w:numPr>
        <w:numId w:val="39"/>
      </w:numPr>
      <w:tabs>
        <w:tab w:val="clear" w:pos="851"/>
      </w:tabs>
      <w:spacing w:after="0" w:line="240" w:lineRule="auto"/>
      <w:ind w:left="1713" w:hanging="720"/>
    </w:pPr>
    <w:rPr>
      <w:sz w:val="24"/>
      <w:szCs w:val="24"/>
      <w:lang w:val="en-GB"/>
    </w:rPr>
  </w:style>
  <w:style w:type="paragraph" w:styleId="GvdeMetni3">
    <w:name w:val="Body Text 3"/>
    <w:basedOn w:val="Normal"/>
    <w:link w:val="GvdeMetni3Char"/>
    <w:uiPriority w:val="98"/>
    <w:semiHidden/>
    <w:rsid w:val="007D6614"/>
    <w:pPr>
      <w:spacing w:after="120" w:line="240" w:lineRule="auto"/>
    </w:pPr>
    <w:rPr>
      <w:sz w:val="16"/>
      <w:szCs w:val="16"/>
      <w:lang w:val="en-GB"/>
    </w:rPr>
  </w:style>
  <w:style w:type="character" w:customStyle="1" w:styleId="GvdeMetni3Char">
    <w:name w:val="Gövde Metni 3 Char"/>
    <w:basedOn w:val="VarsaylanParagrafYazTipi"/>
    <w:link w:val="GvdeMetni3"/>
    <w:uiPriority w:val="98"/>
    <w:semiHidden/>
    <w:rsid w:val="007D6614"/>
    <w:rPr>
      <w:sz w:val="16"/>
      <w:szCs w:val="16"/>
      <w:lang w:val="en-GB"/>
    </w:rPr>
  </w:style>
  <w:style w:type="paragraph" w:styleId="GvdeMetnilkGirintisi">
    <w:name w:val="Body Text First Indent"/>
    <w:basedOn w:val="GvdeMetni"/>
    <w:link w:val="GvdeMetnilkGirintisiChar"/>
    <w:uiPriority w:val="98"/>
    <w:semiHidden/>
    <w:rsid w:val="007D6614"/>
    <w:pPr>
      <w:spacing w:after="0"/>
      <w:ind w:firstLine="360"/>
    </w:pPr>
  </w:style>
  <w:style w:type="character" w:customStyle="1" w:styleId="GvdeMetnilkGirintisiChar">
    <w:name w:val="Gövde Metni İlk Girintisi Char"/>
    <w:basedOn w:val="GvdeMetniChar"/>
    <w:link w:val="GvdeMetnilkGirintisi"/>
    <w:uiPriority w:val="98"/>
    <w:semiHidden/>
    <w:rsid w:val="007D6614"/>
    <w:rPr>
      <w:sz w:val="24"/>
      <w:szCs w:val="24"/>
      <w:lang w:val="en-GB"/>
    </w:rPr>
  </w:style>
  <w:style w:type="paragraph" w:styleId="GvdeMetniGirintisi">
    <w:name w:val="Body Text Indent"/>
    <w:basedOn w:val="Normal"/>
    <w:link w:val="GvdeMetniGirintisiChar"/>
    <w:uiPriority w:val="98"/>
    <w:semiHidden/>
    <w:rsid w:val="007D6614"/>
    <w:pPr>
      <w:spacing w:after="120" w:line="240" w:lineRule="auto"/>
      <w:ind w:left="283"/>
    </w:pPr>
    <w:rPr>
      <w:sz w:val="24"/>
      <w:szCs w:val="24"/>
      <w:lang w:val="en-GB"/>
    </w:rPr>
  </w:style>
  <w:style w:type="character" w:customStyle="1" w:styleId="GvdeMetniGirintisiChar">
    <w:name w:val="Gövde Metni Girintisi Char"/>
    <w:basedOn w:val="VarsaylanParagrafYazTipi"/>
    <w:link w:val="GvdeMetniGirintisi"/>
    <w:uiPriority w:val="98"/>
    <w:semiHidden/>
    <w:rsid w:val="007D6614"/>
    <w:rPr>
      <w:sz w:val="24"/>
      <w:szCs w:val="24"/>
      <w:lang w:val="en-GB"/>
    </w:rPr>
  </w:style>
  <w:style w:type="paragraph" w:styleId="GvdeMetnilkGirintisi2">
    <w:name w:val="Body Text First Indent 2"/>
    <w:basedOn w:val="GvdeMetniGirintisi"/>
    <w:link w:val="GvdeMetnilkGirintisi2Char"/>
    <w:uiPriority w:val="98"/>
    <w:semiHidden/>
    <w:rsid w:val="007D6614"/>
    <w:pPr>
      <w:spacing w:after="0"/>
      <w:ind w:left="360" w:firstLine="360"/>
    </w:pPr>
  </w:style>
  <w:style w:type="character" w:customStyle="1" w:styleId="GvdeMetnilkGirintisi2Char">
    <w:name w:val="Gövde Metni İlk Girintisi 2 Char"/>
    <w:basedOn w:val="GvdeMetniGirintisiChar"/>
    <w:link w:val="GvdeMetnilkGirintisi2"/>
    <w:uiPriority w:val="98"/>
    <w:semiHidden/>
    <w:rsid w:val="007D6614"/>
    <w:rPr>
      <w:sz w:val="24"/>
      <w:szCs w:val="24"/>
      <w:lang w:val="en-GB"/>
    </w:rPr>
  </w:style>
  <w:style w:type="paragraph" w:styleId="GvdeMetniGirintisi2">
    <w:name w:val="Body Text Indent 2"/>
    <w:basedOn w:val="Normal"/>
    <w:link w:val="GvdeMetniGirintisi2Char"/>
    <w:uiPriority w:val="98"/>
    <w:semiHidden/>
    <w:rsid w:val="007D6614"/>
    <w:pPr>
      <w:spacing w:after="120" w:line="480" w:lineRule="auto"/>
      <w:ind w:left="283"/>
    </w:pPr>
    <w:rPr>
      <w:sz w:val="24"/>
      <w:szCs w:val="24"/>
      <w:lang w:val="en-GB"/>
    </w:rPr>
  </w:style>
  <w:style w:type="character" w:customStyle="1" w:styleId="GvdeMetniGirintisi2Char">
    <w:name w:val="Gövde Metni Girintisi 2 Char"/>
    <w:basedOn w:val="VarsaylanParagrafYazTipi"/>
    <w:link w:val="GvdeMetniGirintisi2"/>
    <w:uiPriority w:val="98"/>
    <w:semiHidden/>
    <w:rsid w:val="007D6614"/>
    <w:rPr>
      <w:sz w:val="24"/>
      <w:szCs w:val="24"/>
      <w:lang w:val="en-GB"/>
    </w:rPr>
  </w:style>
  <w:style w:type="paragraph" w:styleId="GvdeMetniGirintisi3">
    <w:name w:val="Body Text Indent 3"/>
    <w:basedOn w:val="Normal"/>
    <w:link w:val="GvdeMetniGirintisi3Char"/>
    <w:uiPriority w:val="98"/>
    <w:semiHidden/>
    <w:rsid w:val="007D6614"/>
    <w:pPr>
      <w:spacing w:after="120" w:line="240" w:lineRule="auto"/>
      <w:ind w:left="283"/>
    </w:pPr>
    <w:rPr>
      <w:sz w:val="16"/>
      <w:szCs w:val="16"/>
      <w:lang w:val="en-GB"/>
    </w:rPr>
  </w:style>
  <w:style w:type="character" w:customStyle="1" w:styleId="GvdeMetniGirintisi3Char">
    <w:name w:val="Gövde Metni Girintisi 3 Char"/>
    <w:basedOn w:val="VarsaylanParagrafYazTipi"/>
    <w:link w:val="GvdeMetniGirintisi3"/>
    <w:uiPriority w:val="98"/>
    <w:semiHidden/>
    <w:rsid w:val="007D6614"/>
    <w:rPr>
      <w:sz w:val="16"/>
      <w:szCs w:val="16"/>
      <w:lang w:val="en-GB"/>
    </w:rPr>
  </w:style>
  <w:style w:type="paragraph" w:customStyle="1" w:styleId="ResimYazs1">
    <w:name w:val="Resim Yazısı1"/>
    <w:basedOn w:val="Normal"/>
    <w:next w:val="Normal"/>
    <w:uiPriority w:val="98"/>
    <w:semiHidden/>
    <w:qFormat/>
    <w:rsid w:val="007D6614"/>
    <w:pPr>
      <w:spacing w:after="200" w:line="240" w:lineRule="auto"/>
    </w:pPr>
    <w:rPr>
      <w:b/>
      <w:bCs/>
      <w:color w:val="0072BC"/>
      <w:sz w:val="18"/>
      <w:szCs w:val="18"/>
      <w:lang w:val="en-GB"/>
    </w:rPr>
  </w:style>
  <w:style w:type="paragraph" w:styleId="Kapan">
    <w:name w:val="Closing"/>
    <w:basedOn w:val="Normal"/>
    <w:link w:val="KapanChar"/>
    <w:uiPriority w:val="98"/>
    <w:semiHidden/>
    <w:rsid w:val="007D6614"/>
    <w:pPr>
      <w:spacing w:after="0" w:line="240" w:lineRule="auto"/>
      <w:ind w:left="4252"/>
    </w:pPr>
    <w:rPr>
      <w:sz w:val="24"/>
      <w:szCs w:val="24"/>
      <w:lang w:val="en-GB"/>
    </w:rPr>
  </w:style>
  <w:style w:type="character" w:customStyle="1" w:styleId="KapanChar">
    <w:name w:val="Kapanış Char"/>
    <w:basedOn w:val="VarsaylanParagrafYazTipi"/>
    <w:link w:val="Kapan"/>
    <w:uiPriority w:val="98"/>
    <w:semiHidden/>
    <w:rsid w:val="007D6614"/>
    <w:rPr>
      <w:sz w:val="24"/>
      <w:szCs w:val="24"/>
      <w:lang w:val="en-GB"/>
    </w:rPr>
  </w:style>
  <w:style w:type="table" w:customStyle="1" w:styleId="RenkliKlavuz1">
    <w:name w:val="Renkli Kılavuz1"/>
    <w:basedOn w:val="NormalTablo"/>
    <w:next w:val="RenkliKlavuz"/>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RenkliKlavuz-Vurgu11">
    <w:name w:val="Renkli Kılavuz - Vurgu 11"/>
    <w:basedOn w:val="NormalTablo"/>
    <w:next w:val="RenkliKlavuz-Vurgu1"/>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RenkliKlavuz-Vurgu21">
    <w:name w:val="Renkli Kılavuz - Vurgu 21"/>
    <w:basedOn w:val="NormalTablo"/>
    <w:next w:val="RenkliKlavuz-Vurgu2"/>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RenkliKlavuz-Vurgu31">
    <w:name w:val="Renkli Kılavuz - Vurgu 31"/>
    <w:basedOn w:val="NormalTablo"/>
    <w:next w:val="RenkliKlavuz-Vurgu3"/>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RenkliKlavuz-Vurgu41">
    <w:name w:val="Renkli Kılavuz - Vurgu 41"/>
    <w:basedOn w:val="NormalTablo"/>
    <w:next w:val="RenkliKlavuz-Vurgu4"/>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RenkliKlavuz-Vurgu51">
    <w:name w:val="Renkli Kılavuz - Vurgu 51"/>
    <w:basedOn w:val="NormalTablo"/>
    <w:next w:val="RenkliKlavuz-Vurgu5"/>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RenkliKlavuz-Vurgu61">
    <w:name w:val="Renkli Kılavuz - Vurgu 61"/>
    <w:basedOn w:val="NormalTablo"/>
    <w:next w:val="RenkliKlavuz-Vurgu6"/>
    <w:uiPriority w:val="73"/>
    <w:semiHidden/>
    <w:rsid w:val="007D6614"/>
    <w:pPr>
      <w:spacing w:after="0" w:line="240" w:lineRule="auto"/>
    </w:pPr>
    <w:rPr>
      <w:color w:val="000000"/>
      <w:sz w:val="24"/>
      <w:szCs w:val="24"/>
      <w:lang w:val="en-US"/>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RenkliListe1">
    <w:name w:val="Renkli Liste1"/>
    <w:basedOn w:val="NormalTablo"/>
    <w:next w:val="RenkliListe"/>
    <w:uiPriority w:val="72"/>
    <w:semiHidden/>
    <w:rsid w:val="007D6614"/>
    <w:pPr>
      <w:spacing w:after="0" w:line="240" w:lineRule="auto"/>
    </w:pPr>
    <w:rPr>
      <w:color w:val="000000"/>
      <w:sz w:val="24"/>
      <w:szCs w:val="24"/>
      <w:lang w:val="en-US"/>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Liste-Vurgu11">
    <w:name w:val="Renkli Liste - Vurgu 11"/>
    <w:basedOn w:val="NormalTablo"/>
    <w:next w:val="RenkliListe-Vurgu1"/>
    <w:uiPriority w:val="72"/>
    <w:semiHidden/>
    <w:rsid w:val="007D6614"/>
    <w:pPr>
      <w:spacing w:after="0" w:line="240" w:lineRule="auto"/>
    </w:pPr>
    <w:rPr>
      <w:color w:val="000000"/>
      <w:sz w:val="24"/>
      <w:szCs w:val="24"/>
      <w:lang w:val="en-US"/>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RenkliListe-Vurgu21">
    <w:name w:val="Renkli Liste - Vurgu 21"/>
    <w:basedOn w:val="NormalTablo"/>
    <w:next w:val="RenkliListe-Vurgu2"/>
    <w:uiPriority w:val="72"/>
    <w:semiHidden/>
    <w:rsid w:val="007D6614"/>
    <w:pPr>
      <w:spacing w:after="0" w:line="240" w:lineRule="auto"/>
    </w:pPr>
    <w:rPr>
      <w:color w:val="000000"/>
      <w:sz w:val="24"/>
      <w:szCs w:val="24"/>
      <w:lang w:val="en-US"/>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RenkliListe-Vurgu31">
    <w:name w:val="Renkli Liste - Vurgu 31"/>
    <w:basedOn w:val="NormalTablo"/>
    <w:next w:val="RenkliListe-Vurgu3"/>
    <w:uiPriority w:val="72"/>
    <w:semiHidden/>
    <w:rsid w:val="007D6614"/>
    <w:pPr>
      <w:spacing w:after="0" w:line="240" w:lineRule="auto"/>
    </w:pPr>
    <w:rPr>
      <w:color w:val="000000"/>
      <w:sz w:val="24"/>
      <w:szCs w:val="24"/>
      <w:lang w:val="en-US"/>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RenkliListe-Vurgu41">
    <w:name w:val="Renkli Liste - Vurgu 41"/>
    <w:basedOn w:val="NormalTablo"/>
    <w:next w:val="RenkliListe-Vurgu4"/>
    <w:uiPriority w:val="72"/>
    <w:semiHidden/>
    <w:rsid w:val="007D6614"/>
    <w:pPr>
      <w:spacing w:after="0" w:line="240" w:lineRule="auto"/>
    </w:pPr>
    <w:rPr>
      <w:color w:val="000000"/>
      <w:sz w:val="24"/>
      <w:szCs w:val="24"/>
      <w:lang w:val="en-US"/>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RenkliListe-Vurgu51">
    <w:name w:val="Renkli Liste - Vurgu 51"/>
    <w:basedOn w:val="NormalTablo"/>
    <w:next w:val="RenkliListe-Vurgu5"/>
    <w:uiPriority w:val="72"/>
    <w:semiHidden/>
    <w:rsid w:val="007D6614"/>
    <w:pPr>
      <w:spacing w:after="0" w:line="240" w:lineRule="auto"/>
    </w:pPr>
    <w:rPr>
      <w:color w:val="000000"/>
      <w:sz w:val="24"/>
      <w:szCs w:val="24"/>
      <w:lang w:val="en-US"/>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RenkliListe-Vurgu61">
    <w:name w:val="Renkli Liste - Vurgu 61"/>
    <w:basedOn w:val="NormalTablo"/>
    <w:next w:val="RenkliListe-Vurgu6"/>
    <w:uiPriority w:val="72"/>
    <w:semiHidden/>
    <w:rsid w:val="007D6614"/>
    <w:pPr>
      <w:spacing w:after="0" w:line="240" w:lineRule="auto"/>
    </w:pPr>
    <w:rPr>
      <w:color w:val="000000"/>
      <w:sz w:val="24"/>
      <w:szCs w:val="24"/>
      <w:lang w:val="en-US"/>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RenkliGlgeleme1">
    <w:name w:val="Renkli Gölgeleme1"/>
    <w:basedOn w:val="NormalTablo"/>
    <w:next w:val="RenkliGlgeleme"/>
    <w:uiPriority w:val="71"/>
    <w:semiHidden/>
    <w:rsid w:val="007D6614"/>
    <w:pPr>
      <w:spacing w:after="0" w:line="240" w:lineRule="auto"/>
    </w:pPr>
    <w:rPr>
      <w:color w:val="000000"/>
      <w:sz w:val="24"/>
      <w:szCs w:val="24"/>
      <w:lang w:val="en-US"/>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RenkliGlgeleme-Vurgu11">
    <w:name w:val="Renkli Gölgeleme - Vurgu 11"/>
    <w:basedOn w:val="NormalTablo"/>
    <w:next w:val="RenkliGlgeleme-Vurgu1"/>
    <w:uiPriority w:val="71"/>
    <w:semiHidden/>
    <w:rsid w:val="007D6614"/>
    <w:pPr>
      <w:spacing w:after="0" w:line="240" w:lineRule="auto"/>
    </w:pPr>
    <w:rPr>
      <w:color w:val="000000"/>
      <w:sz w:val="24"/>
      <w:szCs w:val="24"/>
      <w:lang w:val="en-US"/>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RenkliGlgeleme-Vurgu21">
    <w:name w:val="Renkli Gölgeleme - Vurgu 21"/>
    <w:basedOn w:val="NormalTablo"/>
    <w:next w:val="RenkliGlgeleme-Vurgu2"/>
    <w:uiPriority w:val="71"/>
    <w:semiHidden/>
    <w:rsid w:val="007D6614"/>
    <w:pPr>
      <w:spacing w:after="0" w:line="240" w:lineRule="auto"/>
    </w:pPr>
    <w:rPr>
      <w:color w:val="000000"/>
      <w:sz w:val="24"/>
      <w:szCs w:val="24"/>
      <w:lang w:val="en-US"/>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RenkliGlgeleme-Vurgu31">
    <w:name w:val="Renkli Gölgeleme - Vurgu 31"/>
    <w:basedOn w:val="NormalTablo"/>
    <w:next w:val="RenkliGlgeleme-Vurgu3"/>
    <w:uiPriority w:val="71"/>
    <w:semiHidden/>
    <w:rsid w:val="007D6614"/>
    <w:pPr>
      <w:spacing w:after="0" w:line="240" w:lineRule="auto"/>
    </w:pPr>
    <w:rPr>
      <w:color w:val="000000"/>
      <w:sz w:val="24"/>
      <w:szCs w:val="24"/>
      <w:lang w:val="en-US"/>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RenkliGlgeleme-Vurgu41">
    <w:name w:val="Renkli Gölgeleme - Vurgu 41"/>
    <w:basedOn w:val="NormalTablo"/>
    <w:next w:val="RenkliGlgeleme-Vurgu4"/>
    <w:uiPriority w:val="71"/>
    <w:semiHidden/>
    <w:rsid w:val="007D6614"/>
    <w:pPr>
      <w:spacing w:after="0" w:line="240" w:lineRule="auto"/>
    </w:pPr>
    <w:rPr>
      <w:color w:val="000000"/>
      <w:sz w:val="24"/>
      <w:szCs w:val="24"/>
      <w:lang w:val="en-US"/>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RenkliGlgeleme-Vurgu51">
    <w:name w:val="Renkli Gölgeleme - Vurgu 51"/>
    <w:basedOn w:val="NormalTablo"/>
    <w:next w:val="RenkliGlgeleme-Vurgu5"/>
    <w:uiPriority w:val="71"/>
    <w:semiHidden/>
    <w:rsid w:val="007D6614"/>
    <w:pPr>
      <w:spacing w:after="0" w:line="240" w:lineRule="auto"/>
    </w:pPr>
    <w:rPr>
      <w:color w:val="000000"/>
      <w:sz w:val="24"/>
      <w:szCs w:val="24"/>
      <w:lang w:val="en-US"/>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RenkliGlgeleme-Vurgu61">
    <w:name w:val="Renkli Gölgeleme - Vurgu 61"/>
    <w:basedOn w:val="NormalTablo"/>
    <w:next w:val="RenkliGlgeleme-Vurgu6"/>
    <w:uiPriority w:val="71"/>
    <w:semiHidden/>
    <w:rsid w:val="007D6614"/>
    <w:pPr>
      <w:spacing w:after="0" w:line="240" w:lineRule="auto"/>
    </w:pPr>
    <w:rPr>
      <w:color w:val="000000"/>
      <w:sz w:val="24"/>
      <w:szCs w:val="24"/>
      <w:lang w:val="en-US"/>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AklamaBavurusu">
    <w:name w:val="annotation reference"/>
    <w:basedOn w:val="VarsaylanParagrafYazTipi"/>
    <w:uiPriority w:val="98"/>
    <w:semiHidden/>
    <w:rsid w:val="007D6614"/>
    <w:rPr>
      <w:sz w:val="16"/>
      <w:szCs w:val="16"/>
    </w:rPr>
  </w:style>
  <w:style w:type="paragraph" w:styleId="AklamaMetni">
    <w:name w:val="annotation text"/>
    <w:basedOn w:val="Normal"/>
    <w:link w:val="AklamaMetniChar"/>
    <w:uiPriority w:val="98"/>
    <w:semiHidden/>
    <w:rsid w:val="007D6614"/>
    <w:pPr>
      <w:spacing w:after="0" w:line="240" w:lineRule="auto"/>
    </w:pPr>
    <w:rPr>
      <w:sz w:val="20"/>
      <w:szCs w:val="20"/>
      <w:lang w:val="en-GB"/>
    </w:rPr>
  </w:style>
  <w:style w:type="character" w:customStyle="1" w:styleId="AklamaMetniChar">
    <w:name w:val="Açıklama Metni Char"/>
    <w:basedOn w:val="VarsaylanParagrafYazTipi"/>
    <w:link w:val="AklamaMetni"/>
    <w:uiPriority w:val="98"/>
    <w:semiHidden/>
    <w:rsid w:val="007D6614"/>
    <w:rPr>
      <w:sz w:val="20"/>
      <w:szCs w:val="20"/>
      <w:lang w:val="en-GB"/>
    </w:rPr>
  </w:style>
  <w:style w:type="paragraph" w:styleId="AklamaKonusu">
    <w:name w:val="annotation subject"/>
    <w:basedOn w:val="AklamaMetni"/>
    <w:next w:val="AklamaMetni"/>
    <w:link w:val="AklamaKonusuChar"/>
    <w:uiPriority w:val="98"/>
    <w:semiHidden/>
    <w:rsid w:val="007D6614"/>
    <w:rPr>
      <w:b/>
      <w:bCs/>
    </w:rPr>
  </w:style>
  <w:style w:type="character" w:customStyle="1" w:styleId="AklamaKonusuChar">
    <w:name w:val="Açıklama Konusu Char"/>
    <w:basedOn w:val="AklamaMetniChar"/>
    <w:link w:val="AklamaKonusu"/>
    <w:uiPriority w:val="98"/>
    <w:semiHidden/>
    <w:rsid w:val="007D6614"/>
    <w:rPr>
      <w:b/>
      <w:bCs/>
      <w:sz w:val="20"/>
      <w:szCs w:val="20"/>
      <w:lang w:val="en-GB"/>
    </w:rPr>
  </w:style>
  <w:style w:type="table" w:customStyle="1" w:styleId="KoyuListe1">
    <w:name w:val="Koyu Liste1"/>
    <w:basedOn w:val="NormalTablo"/>
    <w:next w:val="KoyuListe"/>
    <w:uiPriority w:val="70"/>
    <w:semiHidden/>
    <w:rsid w:val="007D6614"/>
    <w:pPr>
      <w:spacing w:after="0" w:line="240" w:lineRule="auto"/>
    </w:pPr>
    <w:rPr>
      <w:color w:val="0072BC"/>
      <w:sz w:val="24"/>
      <w:szCs w:val="24"/>
      <w:lang w:val="en-US"/>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KoyuListe-Vurgu11">
    <w:name w:val="Koyu Liste - Vurgu 11"/>
    <w:basedOn w:val="NormalTablo"/>
    <w:next w:val="KoyuListe-Vurgu1"/>
    <w:uiPriority w:val="70"/>
    <w:semiHidden/>
    <w:rsid w:val="007D6614"/>
    <w:pPr>
      <w:spacing w:after="0" w:line="240" w:lineRule="auto"/>
    </w:pPr>
    <w:rPr>
      <w:color w:val="0072BC"/>
      <w:sz w:val="24"/>
      <w:szCs w:val="24"/>
      <w:lang w:val="en-US"/>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KoyuListe-Vurgu21">
    <w:name w:val="Koyu Liste - Vurgu 21"/>
    <w:basedOn w:val="NormalTablo"/>
    <w:next w:val="KoyuListe-Vurgu2"/>
    <w:uiPriority w:val="70"/>
    <w:semiHidden/>
    <w:rsid w:val="007D6614"/>
    <w:pPr>
      <w:spacing w:after="0" w:line="240" w:lineRule="auto"/>
    </w:pPr>
    <w:rPr>
      <w:color w:val="0072BC"/>
      <w:sz w:val="24"/>
      <w:szCs w:val="24"/>
      <w:lang w:val="en-US"/>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KoyuListe-Vurgu31">
    <w:name w:val="Koyu Liste - Vurgu 31"/>
    <w:basedOn w:val="NormalTablo"/>
    <w:next w:val="KoyuListe-Vurgu3"/>
    <w:uiPriority w:val="70"/>
    <w:semiHidden/>
    <w:rsid w:val="007D6614"/>
    <w:pPr>
      <w:spacing w:after="0" w:line="240" w:lineRule="auto"/>
    </w:pPr>
    <w:rPr>
      <w:color w:val="0072BC"/>
      <w:sz w:val="24"/>
      <w:szCs w:val="24"/>
      <w:lang w:val="en-US"/>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KoyuListe-Vurgu41">
    <w:name w:val="Koyu Liste - Vurgu 41"/>
    <w:basedOn w:val="NormalTablo"/>
    <w:next w:val="KoyuListe-Vurgu4"/>
    <w:uiPriority w:val="70"/>
    <w:semiHidden/>
    <w:rsid w:val="007D6614"/>
    <w:pPr>
      <w:spacing w:after="0" w:line="240" w:lineRule="auto"/>
    </w:pPr>
    <w:rPr>
      <w:color w:val="0072BC"/>
      <w:sz w:val="24"/>
      <w:szCs w:val="24"/>
      <w:lang w:val="en-US"/>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KoyuListe-Vurgu51">
    <w:name w:val="Koyu Liste - Vurgu 51"/>
    <w:basedOn w:val="NormalTablo"/>
    <w:next w:val="KoyuListe-Vurgu5"/>
    <w:uiPriority w:val="70"/>
    <w:semiHidden/>
    <w:rsid w:val="007D6614"/>
    <w:pPr>
      <w:spacing w:after="0" w:line="240" w:lineRule="auto"/>
    </w:pPr>
    <w:rPr>
      <w:color w:val="0072BC"/>
      <w:sz w:val="24"/>
      <w:szCs w:val="24"/>
      <w:lang w:val="en-US"/>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KoyuListe-Vurgu61">
    <w:name w:val="Koyu Liste - Vurgu 61"/>
    <w:basedOn w:val="NormalTablo"/>
    <w:next w:val="KoyuListe-Vurgu6"/>
    <w:uiPriority w:val="70"/>
    <w:semiHidden/>
    <w:rsid w:val="007D6614"/>
    <w:pPr>
      <w:spacing w:after="0" w:line="240" w:lineRule="auto"/>
    </w:pPr>
    <w:rPr>
      <w:color w:val="0072BC"/>
      <w:sz w:val="24"/>
      <w:szCs w:val="24"/>
      <w:lang w:val="en-US"/>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Tarih">
    <w:name w:val="Date"/>
    <w:basedOn w:val="Normal"/>
    <w:next w:val="Normal"/>
    <w:link w:val="TarihChar"/>
    <w:uiPriority w:val="98"/>
    <w:semiHidden/>
    <w:rsid w:val="007D6614"/>
    <w:pPr>
      <w:spacing w:after="0" w:line="240" w:lineRule="auto"/>
    </w:pPr>
    <w:rPr>
      <w:sz w:val="24"/>
      <w:szCs w:val="24"/>
      <w:lang w:val="en-GB"/>
    </w:rPr>
  </w:style>
  <w:style w:type="character" w:customStyle="1" w:styleId="TarihChar">
    <w:name w:val="Tarih Char"/>
    <w:basedOn w:val="VarsaylanParagrafYazTipi"/>
    <w:link w:val="Tarih"/>
    <w:uiPriority w:val="98"/>
    <w:semiHidden/>
    <w:rsid w:val="007D6614"/>
    <w:rPr>
      <w:sz w:val="24"/>
      <w:szCs w:val="24"/>
      <w:lang w:val="en-GB"/>
    </w:rPr>
  </w:style>
  <w:style w:type="paragraph" w:styleId="BelgeBalantlar">
    <w:name w:val="Document Map"/>
    <w:basedOn w:val="Normal"/>
    <w:link w:val="BelgeBalantlarChar"/>
    <w:uiPriority w:val="98"/>
    <w:semiHidden/>
    <w:rsid w:val="007D6614"/>
    <w:pPr>
      <w:spacing w:after="0" w:line="240" w:lineRule="auto"/>
    </w:pPr>
    <w:rPr>
      <w:rFonts w:ascii="Tahoma" w:hAnsi="Tahoma" w:cs="Tahoma"/>
      <w:sz w:val="16"/>
      <w:szCs w:val="16"/>
      <w:lang w:val="en-GB"/>
    </w:rPr>
  </w:style>
  <w:style w:type="character" w:customStyle="1" w:styleId="BelgeBalantlarChar">
    <w:name w:val="Belge Bağlantıları Char"/>
    <w:basedOn w:val="VarsaylanParagrafYazTipi"/>
    <w:link w:val="BelgeBalantlar"/>
    <w:uiPriority w:val="98"/>
    <w:semiHidden/>
    <w:rsid w:val="007D6614"/>
    <w:rPr>
      <w:rFonts w:ascii="Tahoma" w:hAnsi="Tahoma" w:cs="Tahoma"/>
      <w:sz w:val="16"/>
      <w:szCs w:val="16"/>
      <w:lang w:val="en-GB"/>
    </w:rPr>
  </w:style>
  <w:style w:type="paragraph" w:styleId="E-postamzas">
    <w:name w:val="E-mail Signature"/>
    <w:basedOn w:val="Normal"/>
    <w:link w:val="E-postamzasChar"/>
    <w:uiPriority w:val="98"/>
    <w:semiHidden/>
    <w:rsid w:val="007D6614"/>
    <w:pPr>
      <w:spacing w:after="0" w:line="240" w:lineRule="auto"/>
    </w:pPr>
    <w:rPr>
      <w:sz w:val="24"/>
      <w:szCs w:val="24"/>
      <w:lang w:val="en-GB"/>
    </w:rPr>
  </w:style>
  <w:style w:type="character" w:customStyle="1" w:styleId="E-postamzasChar">
    <w:name w:val="E-posta İmzası Char"/>
    <w:basedOn w:val="VarsaylanParagrafYazTipi"/>
    <w:link w:val="E-postamzas"/>
    <w:uiPriority w:val="98"/>
    <w:semiHidden/>
    <w:rsid w:val="007D6614"/>
    <w:rPr>
      <w:sz w:val="24"/>
      <w:szCs w:val="24"/>
      <w:lang w:val="en-GB"/>
    </w:rPr>
  </w:style>
  <w:style w:type="character" w:styleId="SonnotBavurusu">
    <w:name w:val="endnote reference"/>
    <w:basedOn w:val="VarsaylanParagrafYazTipi"/>
    <w:uiPriority w:val="98"/>
    <w:semiHidden/>
    <w:rsid w:val="007D6614"/>
    <w:rPr>
      <w:vertAlign w:val="superscript"/>
    </w:rPr>
  </w:style>
  <w:style w:type="paragraph" w:styleId="SonnotMetni">
    <w:name w:val="endnote text"/>
    <w:basedOn w:val="Normal"/>
    <w:link w:val="SonnotMetniChar"/>
    <w:uiPriority w:val="98"/>
    <w:semiHidden/>
    <w:rsid w:val="007D6614"/>
    <w:pPr>
      <w:spacing w:after="0" w:line="240" w:lineRule="auto"/>
    </w:pPr>
    <w:rPr>
      <w:sz w:val="20"/>
      <w:szCs w:val="20"/>
      <w:lang w:val="en-GB"/>
    </w:rPr>
  </w:style>
  <w:style w:type="character" w:customStyle="1" w:styleId="SonnotMetniChar">
    <w:name w:val="Sonnot Metni Char"/>
    <w:basedOn w:val="VarsaylanParagrafYazTipi"/>
    <w:link w:val="SonnotMetni"/>
    <w:uiPriority w:val="98"/>
    <w:semiHidden/>
    <w:rsid w:val="007D6614"/>
    <w:rPr>
      <w:sz w:val="20"/>
      <w:szCs w:val="20"/>
      <w:lang w:val="en-GB"/>
    </w:rPr>
  </w:style>
  <w:style w:type="paragraph" w:customStyle="1" w:styleId="MektupAdresi1">
    <w:name w:val="Mektup Adresi1"/>
    <w:basedOn w:val="Normal"/>
    <w:next w:val="MektupAdresi"/>
    <w:uiPriority w:val="98"/>
    <w:semiHidden/>
    <w:rsid w:val="007D6614"/>
    <w:pPr>
      <w:framePr w:w="7938" w:h="1985" w:hRule="exact" w:hSpace="141" w:wrap="auto" w:hAnchor="page" w:xAlign="center" w:yAlign="bottom"/>
      <w:spacing w:after="0" w:line="240" w:lineRule="auto"/>
      <w:ind w:left="2835"/>
    </w:pPr>
    <w:rPr>
      <w:rFonts w:ascii="Times New Roman" w:eastAsia="MS Gothic" w:hAnsi="Times New Roman" w:cs="Microsoft Himalaya"/>
      <w:sz w:val="24"/>
      <w:szCs w:val="24"/>
      <w:lang w:val="en-GB"/>
    </w:rPr>
  </w:style>
  <w:style w:type="paragraph" w:customStyle="1" w:styleId="ZarfDn1">
    <w:name w:val="Zarf Dönüş1"/>
    <w:basedOn w:val="Normal"/>
    <w:next w:val="ZarfDn"/>
    <w:uiPriority w:val="98"/>
    <w:semiHidden/>
    <w:rsid w:val="007D6614"/>
    <w:pPr>
      <w:spacing w:after="0" w:line="240" w:lineRule="auto"/>
    </w:pPr>
    <w:rPr>
      <w:rFonts w:ascii="Times New Roman" w:eastAsia="MS Gothic" w:hAnsi="Times New Roman" w:cs="Microsoft Himalaya"/>
      <w:sz w:val="20"/>
      <w:szCs w:val="20"/>
      <w:lang w:val="en-GB"/>
    </w:rPr>
  </w:style>
  <w:style w:type="character" w:customStyle="1" w:styleId="zlenenKpr1">
    <w:name w:val="İzlenen Köprü1"/>
    <w:basedOn w:val="VarsaylanParagrafYazTipi"/>
    <w:uiPriority w:val="98"/>
    <w:semiHidden/>
    <w:rsid w:val="007D6614"/>
    <w:rPr>
      <w:color w:val="7030A0"/>
      <w:u w:val="single"/>
    </w:rPr>
  </w:style>
  <w:style w:type="character" w:styleId="HTMLKsaltmas">
    <w:name w:val="HTML Acronym"/>
    <w:basedOn w:val="VarsaylanParagrafYazTipi"/>
    <w:uiPriority w:val="98"/>
    <w:semiHidden/>
    <w:rsid w:val="007D6614"/>
  </w:style>
  <w:style w:type="paragraph" w:styleId="HTMLAdresi">
    <w:name w:val="HTML Address"/>
    <w:basedOn w:val="Normal"/>
    <w:link w:val="HTMLAdresiChar"/>
    <w:uiPriority w:val="98"/>
    <w:semiHidden/>
    <w:rsid w:val="007D6614"/>
    <w:pPr>
      <w:spacing w:after="0" w:line="240" w:lineRule="auto"/>
    </w:pPr>
    <w:rPr>
      <w:i/>
      <w:iCs/>
      <w:sz w:val="24"/>
      <w:szCs w:val="24"/>
      <w:lang w:val="en-GB"/>
    </w:rPr>
  </w:style>
  <w:style w:type="character" w:customStyle="1" w:styleId="HTMLAdresiChar">
    <w:name w:val="HTML Adresi Char"/>
    <w:basedOn w:val="VarsaylanParagrafYazTipi"/>
    <w:link w:val="HTMLAdresi"/>
    <w:uiPriority w:val="98"/>
    <w:semiHidden/>
    <w:rsid w:val="007D6614"/>
    <w:rPr>
      <w:i/>
      <w:iCs/>
      <w:sz w:val="24"/>
      <w:szCs w:val="24"/>
      <w:lang w:val="en-GB"/>
    </w:rPr>
  </w:style>
  <w:style w:type="character" w:styleId="HTMLCite">
    <w:name w:val="HTML Cite"/>
    <w:basedOn w:val="VarsaylanParagrafYazTipi"/>
    <w:uiPriority w:val="98"/>
    <w:semiHidden/>
    <w:rsid w:val="007D6614"/>
    <w:rPr>
      <w:i/>
      <w:iCs/>
    </w:rPr>
  </w:style>
  <w:style w:type="character" w:styleId="HTMLKodu">
    <w:name w:val="HTML Code"/>
    <w:basedOn w:val="VarsaylanParagrafYazTipi"/>
    <w:uiPriority w:val="98"/>
    <w:semiHidden/>
    <w:rsid w:val="007D6614"/>
    <w:rPr>
      <w:rFonts w:ascii="Consolas" w:hAnsi="Consolas" w:cs="Consolas"/>
      <w:sz w:val="20"/>
      <w:szCs w:val="20"/>
    </w:rPr>
  </w:style>
  <w:style w:type="character" w:styleId="HTMLTanm">
    <w:name w:val="HTML Definition"/>
    <w:basedOn w:val="VarsaylanParagrafYazTipi"/>
    <w:uiPriority w:val="98"/>
    <w:semiHidden/>
    <w:rsid w:val="007D6614"/>
    <w:rPr>
      <w:i/>
      <w:iCs/>
    </w:rPr>
  </w:style>
  <w:style w:type="character" w:styleId="HTMLKlavye">
    <w:name w:val="HTML Keyboard"/>
    <w:basedOn w:val="VarsaylanParagrafYazTipi"/>
    <w:uiPriority w:val="98"/>
    <w:semiHidden/>
    <w:rsid w:val="007D6614"/>
    <w:rPr>
      <w:rFonts w:ascii="Consolas" w:hAnsi="Consolas" w:cs="Consolas"/>
      <w:sz w:val="20"/>
      <w:szCs w:val="20"/>
    </w:rPr>
  </w:style>
  <w:style w:type="paragraph" w:styleId="HTMLncedenBiimlendirilmi">
    <w:name w:val="HTML Preformatted"/>
    <w:basedOn w:val="Normal"/>
    <w:link w:val="HTMLncedenBiimlendirilmiChar"/>
    <w:uiPriority w:val="98"/>
    <w:semiHidden/>
    <w:rsid w:val="007D6614"/>
    <w:pPr>
      <w:spacing w:after="0" w:line="240" w:lineRule="auto"/>
    </w:pPr>
    <w:rPr>
      <w:rFonts w:ascii="Consolas" w:hAnsi="Consolas" w:cs="Consolas"/>
      <w:sz w:val="20"/>
      <w:szCs w:val="20"/>
      <w:lang w:val="en-GB"/>
    </w:rPr>
  </w:style>
  <w:style w:type="character" w:customStyle="1" w:styleId="HTMLncedenBiimlendirilmiChar">
    <w:name w:val="HTML Önceden Biçimlendirilmiş Char"/>
    <w:basedOn w:val="VarsaylanParagrafYazTipi"/>
    <w:link w:val="HTMLncedenBiimlendirilmi"/>
    <w:uiPriority w:val="98"/>
    <w:semiHidden/>
    <w:rsid w:val="007D6614"/>
    <w:rPr>
      <w:rFonts w:ascii="Consolas" w:hAnsi="Consolas" w:cs="Consolas"/>
      <w:sz w:val="20"/>
      <w:szCs w:val="20"/>
      <w:lang w:val="en-GB"/>
    </w:rPr>
  </w:style>
  <w:style w:type="character" w:styleId="HTMLrnek">
    <w:name w:val="HTML Sample"/>
    <w:basedOn w:val="VarsaylanParagrafYazTipi"/>
    <w:uiPriority w:val="98"/>
    <w:semiHidden/>
    <w:rsid w:val="007D6614"/>
    <w:rPr>
      <w:rFonts w:ascii="Consolas" w:hAnsi="Consolas" w:cs="Consolas"/>
      <w:sz w:val="24"/>
      <w:szCs w:val="24"/>
    </w:rPr>
  </w:style>
  <w:style w:type="character" w:styleId="HTMLDaktilo">
    <w:name w:val="HTML Typewriter"/>
    <w:basedOn w:val="VarsaylanParagrafYazTipi"/>
    <w:uiPriority w:val="98"/>
    <w:semiHidden/>
    <w:rsid w:val="007D6614"/>
    <w:rPr>
      <w:rFonts w:ascii="Consolas" w:hAnsi="Consolas" w:cs="Consolas"/>
      <w:sz w:val="20"/>
      <w:szCs w:val="20"/>
    </w:rPr>
  </w:style>
  <w:style w:type="character" w:styleId="HTMLDeiken">
    <w:name w:val="HTML Variable"/>
    <w:basedOn w:val="VarsaylanParagrafYazTipi"/>
    <w:uiPriority w:val="98"/>
    <w:semiHidden/>
    <w:rsid w:val="007D6614"/>
    <w:rPr>
      <w:i/>
      <w:iCs/>
    </w:rPr>
  </w:style>
  <w:style w:type="paragraph" w:styleId="Dizin1">
    <w:name w:val="index 1"/>
    <w:basedOn w:val="Normal"/>
    <w:next w:val="Normal"/>
    <w:autoRedefine/>
    <w:uiPriority w:val="98"/>
    <w:semiHidden/>
    <w:rsid w:val="007D6614"/>
    <w:pPr>
      <w:spacing w:after="0" w:line="240" w:lineRule="auto"/>
      <w:ind w:left="240" w:hanging="240"/>
    </w:pPr>
    <w:rPr>
      <w:sz w:val="24"/>
      <w:szCs w:val="24"/>
      <w:lang w:val="en-GB"/>
    </w:rPr>
  </w:style>
  <w:style w:type="paragraph" w:styleId="Dizin2">
    <w:name w:val="index 2"/>
    <w:basedOn w:val="Normal"/>
    <w:next w:val="Normal"/>
    <w:autoRedefine/>
    <w:uiPriority w:val="98"/>
    <w:semiHidden/>
    <w:rsid w:val="007D6614"/>
    <w:pPr>
      <w:spacing w:after="0" w:line="240" w:lineRule="auto"/>
      <w:ind w:left="480" w:hanging="240"/>
    </w:pPr>
    <w:rPr>
      <w:sz w:val="24"/>
      <w:szCs w:val="24"/>
      <w:lang w:val="en-GB"/>
    </w:rPr>
  </w:style>
  <w:style w:type="paragraph" w:styleId="Dizin3">
    <w:name w:val="index 3"/>
    <w:basedOn w:val="Normal"/>
    <w:next w:val="Normal"/>
    <w:autoRedefine/>
    <w:uiPriority w:val="98"/>
    <w:semiHidden/>
    <w:rsid w:val="007D6614"/>
    <w:pPr>
      <w:spacing w:after="0" w:line="240" w:lineRule="auto"/>
      <w:ind w:left="720" w:hanging="240"/>
    </w:pPr>
    <w:rPr>
      <w:sz w:val="24"/>
      <w:szCs w:val="24"/>
      <w:lang w:val="en-GB"/>
    </w:rPr>
  </w:style>
  <w:style w:type="paragraph" w:styleId="Dizin4">
    <w:name w:val="index 4"/>
    <w:basedOn w:val="Normal"/>
    <w:next w:val="Normal"/>
    <w:autoRedefine/>
    <w:uiPriority w:val="98"/>
    <w:semiHidden/>
    <w:rsid w:val="007D6614"/>
    <w:pPr>
      <w:spacing w:after="0" w:line="240" w:lineRule="auto"/>
      <w:ind w:left="960" w:hanging="240"/>
    </w:pPr>
    <w:rPr>
      <w:sz w:val="24"/>
      <w:szCs w:val="24"/>
      <w:lang w:val="en-GB"/>
    </w:rPr>
  </w:style>
  <w:style w:type="paragraph" w:styleId="Dizin5">
    <w:name w:val="index 5"/>
    <w:basedOn w:val="Normal"/>
    <w:next w:val="Normal"/>
    <w:autoRedefine/>
    <w:uiPriority w:val="98"/>
    <w:semiHidden/>
    <w:rsid w:val="007D6614"/>
    <w:pPr>
      <w:spacing w:after="0" w:line="240" w:lineRule="auto"/>
      <w:ind w:left="1200" w:hanging="240"/>
    </w:pPr>
    <w:rPr>
      <w:sz w:val="24"/>
      <w:szCs w:val="24"/>
      <w:lang w:val="en-GB"/>
    </w:rPr>
  </w:style>
  <w:style w:type="paragraph" w:styleId="Dizin6">
    <w:name w:val="index 6"/>
    <w:basedOn w:val="Normal"/>
    <w:next w:val="Normal"/>
    <w:autoRedefine/>
    <w:uiPriority w:val="98"/>
    <w:semiHidden/>
    <w:rsid w:val="007D6614"/>
    <w:pPr>
      <w:spacing w:after="0" w:line="240" w:lineRule="auto"/>
      <w:ind w:left="1440" w:hanging="240"/>
    </w:pPr>
    <w:rPr>
      <w:sz w:val="24"/>
      <w:szCs w:val="24"/>
      <w:lang w:val="en-GB"/>
    </w:rPr>
  </w:style>
  <w:style w:type="paragraph" w:styleId="Dizin7">
    <w:name w:val="index 7"/>
    <w:basedOn w:val="Normal"/>
    <w:next w:val="Normal"/>
    <w:autoRedefine/>
    <w:uiPriority w:val="98"/>
    <w:semiHidden/>
    <w:rsid w:val="007D6614"/>
    <w:pPr>
      <w:spacing w:after="0" w:line="240" w:lineRule="auto"/>
      <w:ind w:left="1680" w:hanging="240"/>
    </w:pPr>
    <w:rPr>
      <w:sz w:val="24"/>
      <w:szCs w:val="24"/>
      <w:lang w:val="en-GB"/>
    </w:rPr>
  </w:style>
  <w:style w:type="paragraph" w:styleId="Dizin8">
    <w:name w:val="index 8"/>
    <w:basedOn w:val="Normal"/>
    <w:next w:val="Normal"/>
    <w:autoRedefine/>
    <w:uiPriority w:val="98"/>
    <w:semiHidden/>
    <w:rsid w:val="007D6614"/>
    <w:pPr>
      <w:spacing w:after="0" w:line="240" w:lineRule="auto"/>
      <w:ind w:left="1920" w:hanging="240"/>
    </w:pPr>
    <w:rPr>
      <w:sz w:val="24"/>
      <w:szCs w:val="24"/>
      <w:lang w:val="en-GB"/>
    </w:rPr>
  </w:style>
  <w:style w:type="paragraph" w:styleId="Dizin9">
    <w:name w:val="index 9"/>
    <w:basedOn w:val="Normal"/>
    <w:next w:val="Normal"/>
    <w:autoRedefine/>
    <w:uiPriority w:val="98"/>
    <w:semiHidden/>
    <w:rsid w:val="007D6614"/>
    <w:pPr>
      <w:spacing w:after="0" w:line="240" w:lineRule="auto"/>
      <w:ind w:left="2160" w:hanging="240"/>
    </w:pPr>
    <w:rPr>
      <w:sz w:val="24"/>
      <w:szCs w:val="24"/>
      <w:lang w:val="en-GB"/>
    </w:rPr>
  </w:style>
  <w:style w:type="paragraph" w:customStyle="1" w:styleId="DizinBal1">
    <w:name w:val="Dizin Başlığı1"/>
    <w:basedOn w:val="Normal"/>
    <w:next w:val="Dizin1"/>
    <w:uiPriority w:val="98"/>
    <w:semiHidden/>
    <w:rsid w:val="007D6614"/>
    <w:pPr>
      <w:spacing w:after="0" w:line="240" w:lineRule="auto"/>
    </w:pPr>
    <w:rPr>
      <w:rFonts w:ascii="Times New Roman" w:eastAsia="MS Gothic" w:hAnsi="Times New Roman" w:cs="Microsoft Himalaya"/>
      <w:b/>
      <w:bCs/>
      <w:sz w:val="24"/>
      <w:szCs w:val="24"/>
      <w:lang w:val="en-GB"/>
    </w:rPr>
  </w:style>
  <w:style w:type="table" w:customStyle="1" w:styleId="AkKlavuz1">
    <w:name w:val="Açık Kılavuz1"/>
    <w:basedOn w:val="NormalTablo"/>
    <w:next w:val="AkKlavuz"/>
    <w:uiPriority w:val="62"/>
    <w:semiHidden/>
    <w:rsid w:val="007D6614"/>
    <w:pPr>
      <w:spacing w:after="0" w:line="240" w:lineRule="auto"/>
    </w:pPr>
    <w:rPr>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Microsoft Himalay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Klavuz-Vurgu11">
    <w:name w:val="Açık Kılavuz - Vurgu 11"/>
    <w:basedOn w:val="NormalTablo"/>
    <w:next w:val="AkKlavuz-Vurgu1"/>
    <w:uiPriority w:val="62"/>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Microsoft Himalaya"/>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AkKlavuz-Vurgu21">
    <w:name w:val="Açık Kılavuz - Vurgu 21"/>
    <w:basedOn w:val="NormalTablo"/>
    <w:next w:val="AkKlavuz-Vurgu2"/>
    <w:uiPriority w:val="62"/>
    <w:semiHidden/>
    <w:rsid w:val="007D6614"/>
    <w:pPr>
      <w:spacing w:after="0" w:line="240" w:lineRule="auto"/>
    </w:pPr>
    <w:rPr>
      <w:sz w:val="24"/>
      <w:szCs w:val="24"/>
      <w:lang w:val="en-US"/>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Microsoft Himalaya"/>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AkKlavuz-Vurgu31">
    <w:name w:val="Açık Kılavuz - Vurgu 31"/>
    <w:basedOn w:val="NormalTablo"/>
    <w:next w:val="AkKlavuz-Vurgu3"/>
    <w:uiPriority w:val="62"/>
    <w:semiHidden/>
    <w:rsid w:val="007D6614"/>
    <w:pPr>
      <w:spacing w:after="0" w:line="240" w:lineRule="auto"/>
    </w:pPr>
    <w:rPr>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Microsoft Himalaya"/>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AkKlavuz-Vurgu41">
    <w:name w:val="Açık Kılavuz - Vurgu 41"/>
    <w:basedOn w:val="NormalTablo"/>
    <w:next w:val="AkKlavuz-Vurgu4"/>
    <w:uiPriority w:val="62"/>
    <w:semiHidden/>
    <w:rsid w:val="007D6614"/>
    <w:pPr>
      <w:spacing w:after="0" w:line="240" w:lineRule="auto"/>
    </w:pPr>
    <w:rPr>
      <w:sz w:val="24"/>
      <w:szCs w:val="24"/>
      <w:lang w:val="en-US"/>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Microsoft Himalaya"/>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AkKlavuz-Vurgu51">
    <w:name w:val="Açık Kılavuz - Vurgu 51"/>
    <w:basedOn w:val="NormalTablo"/>
    <w:next w:val="AkKlavuz-Vurgu5"/>
    <w:uiPriority w:val="62"/>
    <w:semiHidden/>
    <w:rsid w:val="007D6614"/>
    <w:pPr>
      <w:spacing w:after="0" w:line="240" w:lineRule="auto"/>
    </w:pPr>
    <w:rPr>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Microsoft Himalaya"/>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AkKlavuz-Vurgu61">
    <w:name w:val="Açık Kılavuz - Vurgu 61"/>
    <w:basedOn w:val="NormalTablo"/>
    <w:next w:val="AkKlavuz-Vurgu6"/>
    <w:uiPriority w:val="62"/>
    <w:semiHidden/>
    <w:rsid w:val="007D6614"/>
    <w:pPr>
      <w:spacing w:after="0" w:line="240" w:lineRule="auto"/>
    </w:pPr>
    <w:rPr>
      <w:sz w:val="24"/>
      <w:szCs w:val="24"/>
      <w:lang w:val="en-US"/>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Microsoft Himalaya"/>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Microsoft Himalaya"/>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Microsoft Himalaya"/>
        <w:b/>
        <w:bCs/>
      </w:rPr>
    </w:tblStylePr>
    <w:tblStylePr w:type="lastCol">
      <w:rPr>
        <w:rFonts w:ascii="Times New Roman" w:eastAsia="MS Gothic" w:hAnsi="Times New Roman" w:cs="Microsoft Himalaya"/>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AkListe1">
    <w:name w:val="Açık Liste1"/>
    <w:basedOn w:val="NormalTablo"/>
    <w:next w:val="AkListe"/>
    <w:uiPriority w:val="61"/>
    <w:semiHidden/>
    <w:rsid w:val="007D6614"/>
    <w:pPr>
      <w:spacing w:after="0" w:line="240" w:lineRule="auto"/>
    </w:pPr>
    <w:rPr>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11">
    <w:name w:val="Açık Liste - Vurgu 11"/>
    <w:basedOn w:val="NormalTablo"/>
    <w:next w:val="AkListe-Vurgu1"/>
    <w:uiPriority w:val="61"/>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AkListe-Vurgu21">
    <w:name w:val="Açık Liste - Vurgu 21"/>
    <w:basedOn w:val="NormalTablo"/>
    <w:next w:val="AkListe-Vurgu2"/>
    <w:uiPriority w:val="61"/>
    <w:semiHidden/>
    <w:rsid w:val="007D6614"/>
    <w:pPr>
      <w:spacing w:after="0" w:line="240" w:lineRule="auto"/>
    </w:pPr>
    <w:rPr>
      <w:sz w:val="24"/>
      <w:szCs w:val="24"/>
      <w:lang w:val="en-US"/>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AkListe-Vurgu31">
    <w:name w:val="Açık Liste - Vurgu 31"/>
    <w:basedOn w:val="NormalTablo"/>
    <w:next w:val="AkListe-Vurgu3"/>
    <w:uiPriority w:val="61"/>
    <w:semiHidden/>
    <w:rsid w:val="007D6614"/>
    <w:pPr>
      <w:spacing w:after="0" w:line="240" w:lineRule="auto"/>
    </w:pPr>
    <w:rPr>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AkListe-Vurgu41">
    <w:name w:val="Açık Liste - Vurgu 41"/>
    <w:basedOn w:val="NormalTablo"/>
    <w:next w:val="AkListe-Vurgu4"/>
    <w:uiPriority w:val="61"/>
    <w:semiHidden/>
    <w:rsid w:val="007D6614"/>
    <w:pPr>
      <w:spacing w:after="0" w:line="240" w:lineRule="auto"/>
    </w:pPr>
    <w:rPr>
      <w:sz w:val="24"/>
      <w:szCs w:val="24"/>
      <w:lang w:val="en-US"/>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AkListe-Vurgu51">
    <w:name w:val="Açık Liste - Vurgu 51"/>
    <w:basedOn w:val="NormalTablo"/>
    <w:next w:val="AkListe-Vurgu5"/>
    <w:uiPriority w:val="61"/>
    <w:semiHidden/>
    <w:rsid w:val="007D6614"/>
    <w:pPr>
      <w:spacing w:after="0" w:line="240" w:lineRule="auto"/>
    </w:pPr>
    <w:rPr>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AkListe-Vurgu61">
    <w:name w:val="Açık Liste - Vurgu 61"/>
    <w:basedOn w:val="NormalTablo"/>
    <w:next w:val="AkListe-Vurgu6"/>
    <w:uiPriority w:val="61"/>
    <w:semiHidden/>
    <w:rsid w:val="007D6614"/>
    <w:pPr>
      <w:spacing w:after="0" w:line="240" w:lineRule="auto"/>
    </w:pPr>
    <w:rPr>
      <w:sz w:val="24"/>
      <w:szCs w:val="24"/>
      <w:lang w:val="en-US"/>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AkGlgeleme1">
    <w:name w:val="Açık Gölgeleme1"/>
    <w:basedOn w:val="NormalTablo"/>
    <w:next w:val="AkGlgeleme"/>
    <w:uiPriority w:val="60"/>
    <w:semiHidden/>
    <w:rsid w:val="007D6614"/>
    <w:pPr>
      <w:spacing w:after="0" w:line="240" w:lineRule="auto"/>
    </w:pPr>
    <w:rPr>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next w:val="AkGlgeleme-Vurgu1"/>
    <w:uiPriority w:val="60"/>
    <w:semiHidden/>
    <w:rsid w:val="007D6614"/>
    <w:pPr>
      <w:spacing w:after="0" w:line="240" w:lineRule="auto"/>
    </w:pPr>
    <w:rPr>
      <w:color w:val="00548C"/>
      <w:sz w:val="24"/>
      <w:szCs w:val="24"/>
      <w:lang w:val="en-US"/>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AkGlgeleme-Vurgu21">
    <w:name w:val="Açık Gölgeleme - Vurgu 21"/>
    <w:basedOn w:val="NormalTablo"/>
    <w:next w:val="AkGlgeleme-Vurgu2"/>
    <w:uiPriority w:val="60"/>
    <w:semiHidden/>
    <w:rsid w:val="007D6614"/>
    <w:pPr>
      <w:spacing w:after="0" w:line="240" w:lineRule="auto"/>
    </w:pPr>
    <w:rPr>
      <w:color w:val="8F0000"/>
      <w:sz w:val="24"/>
      <w:szCs w:val="24"/>
      <w:lang w:val="en-US"/>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AkGlgeleme-Vurgu31">
    <w:name w:val="Açık Gölgeleme - Vurgu 31"/>
    <w:basedOn w:val="NormalTablo"/>
    <w:next w:val="AkGlgeleme-Vurgu3"/>
    <w:uiPriority w:val="60"/>
    <w:semiHidden/>
    <w:rsid w:val="007D6614"/>
    <w:pPr>
      <w:spacing w:after="0" w:line="240" w:lineRule="auto"/>
    </w:pPr>
    <w:rPr>
      <w:color w:val="474747"/>
      <w:sz w:val="24"/>
      <w:szCs w:val="24"/>
      <w:lang w:val="en-US"/>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AkGlgeleme-Vurgu41">
    <w:name w:val="Açık Gölgeleme - Vurgu 41"/>
    <w:basedOn w:val="NormalTablo"/>
    <w:next w:val="AkGlgeleme-Vurgu4"/>
    <w:uiPriority w:val="60"/>
    <w:semiHidden/>
    <w:rsid w:val="007D6614"/>
    <w:pPr>
      <w:spacing w:after="0" w:line="240" w:lineRule="auto"/>
    </w:pPr>
    <w:rPr>
      <w:color w:val="707070"/>
      <w:sz w:val="24"/>
      <w:szCs w:val="24"/>
      <w:lang w:val="en-US"/>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AkGlgeleme-Vurgu51">
    <w:name w:val="Açık Gölgeleme - Vurgu 51"/>
    <w:basedOn w:val="NormalTablo"/>
    <w:next w:val="AkGlgeleme-Vurgu5"/>
    <w:uiPriority w:val="60"/>
    <w:semiHidden/>
    <w:rsid w:val="007D6614"/>
    <w:pPr>
      <w:spacing w:after="0" w:line="240" w:lineRule="auto"/>
    </w:pPr>
    <w:rPr>
      <w:color w:val="474747"/>
      <w:sz w:val="24"/>
      <w:szCs w:val="24"/>
      <w:lang w:val="en-US"/>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AkGlgeleme-Vurgu61">
    <w:name w:val="Açık Gölgeleme - Vurgu 61"/>
    <w:basedOn w:val="NormalTablo"/>
    <w:next w:val="AkGlgeleme-Vurgu6"/>
    <w:uiPriority w:val="60"/>
    <w:semiHidden/>
    <w:rsid w:val="007D6614"/>
    <w:pPr>
      <w:spacing w:after="0" w:line="240" w:lineRule="auto"/>
    </w:pPr>
    <w:rPr>
      <w:color w:val="393939"/>
      <w:sz w:val="24"/>
      <w:szCs w:val="24"/>
      <w:lang w:val="en-US"/>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SatrNumaras">
    <w:name w:val="line number"/>
    <w:basedOn w:val="VarsaylanParagrafYazTipi"/>
    <w:uiPriority w:val="98"/>
    <w:semiHidden/>
    <w:rsid w:val="007D6614"/>
  </w:style>
  <w:style w:type="paragraph" w:styleId="Liste">
    <w:name w:val="List"/>
    <w:basedOn w:val="Normal"/>
    <w:uiPriority w:val="98"/>
    <w:semiHidden/>
    <w:rsid w:val="007D6614"/>
    <w:pPr>
      <w:spacing w:after="0" w:line="240" w:lineRule="auto"/>
      <w:ind w:left="283" w:hanging="283"/>
      <w:contextualSpacing/>
    </w:pPr>
    <w:rPr>
      <w:sz w:val="24"/>
      <w:szCs w:val="24"/>
      <w:lang w:val="en-GB"/>
    </w:rPr>
  </w:style>
  <w:style w:type="paragraph" w:styleId="Liste2">
    <w:name w:val="List 2"/>
    <w:basedOn w:val="Normal"/>
    <w:uiPriority w:val="98"/>
    <w:semiHidden/>
    <w:rsid w:val="007D6614"/>
    <w:pPr>
      <w:spacing w:after="0" w:line="240" w:lineRule="auto"/>
      <w:ind w:left="566" w:hanging="283"/>
      <w:contextualSpacing/>
    </w:pPr>
    <w:rPr>
      <w:sz w:val="24"/>
      <w:szCs w:val="24"/>
      <w:lang w:val="en-GB"/>
    </w:rPr>
  </w:style>
  <w:style w:type="paragraph" w:styleId="Liste3">
    <w:name w:val="List 3"/>
    <w:basedOn w:val="Normal"/>
    <w:uiPriority w:val="98"/>
    <w:semiHidden/>
    <w:rsid w:val="007D6614"/>
    <w:pPr>
      <w:spacing w:after="0" w:line="240" w:lineRule="auto"/>
      <w:ind w:left="849" w:hanging="283"/>
      <w:contextualSpacing/>
    </w:pPr>
    <w:rPr>
      <w:sz w:val="24"/>
      <w:szCs w:val="24"/>
      <w:lang w:val="en-GB"/>
    </w:rPr>
  </w:style>
  <w:style w:type="paragraph" w:styleId="Liste4">
    <w:name w:val="List 4"/>
    <w:basedOn w:val="Normal"/>
    <w:uiPriority w:val="98"/>
    <w:semiHidden/>
    <w:rsid w:val="007D6614"/>
    <w:pPr>
      <w:spacing w:after="0" w:line="240" w:lineRule="auto"/>
      <w:ind w:left="1132" w:hanging="283"/>
      <w:contextualSpacing/>
    </w:pPr>
    <w:rPr>
      <w:sz w:val="24"/>
      <w:szCs w:val="24"/>
      <w:lang w:val="en-GB"/>
    </w:rPr>
  </w:style>
  <w:style w:type="paragraph" w:styleId="Liste5">
    <w:name w:val="List 5"/>
    <w:basedOn w:val="Normal"/>
    <w:uiPriority w:val="98"/>
    <w:semiHidden/>
    <w:rsid w:val="007D6614"/>
    <w:pPr>
      <w:spacing w:after="0" w:line="240" w:lineRule="auto"/>
      <w:ind w:left="1415" w:hanging="283"/>
      <w:contextualSpacing/>
    </w:pPr>
    <w:rPr>
      <w:sz w:val="24"/>
      <w:szCs w:val="24"/>
      <w:lang w:val="en-GB"/>
    </w:rPr>
  </w:style>
  <w:style w:type="paragraph" w:styleId="ListeMaddemi2">
    <w:name w:val="List Bullet 2"/>
    <w:basedOn w:val="Normal"/>
    <w:uiPriority w:val="98"/>
    <w:semiHidden/>
    <w:rsid w:val="007D6614"/>
    <w:pPr>
      <w:numPr>
        <w:numId w:val="40"/>
      </w:numPr>
      <w:tabs>
        <w:tab w:val="clear" w:pos="643"/>
      </w:tabs>
      <w:spacing w:after="0" w:line="240" w:lineRule="auto"/>
      <w:ind w:left="1713" w:hanging="720"/>
      <w:contextualSpacing/>
    </w:pPr>
    <w:rPr>
      <w:sz w:val="24"/>
      <w:szCs w:val="24"/>
      <w:lang w:val="en-GB"/>
    </w:rPr>
  </w:style>
  <w:style w:type="paragraph" w:styleId="ListeMaddemi3">
    <w:name w:val="List Bullet 3"/>
    <w:basedOn w:val="Normal"/>
    <w:uiPriority w:val="98"/>
    <w:semiHidden/>
    <w:rsid w:val="007D6614"/>
    <w:pPr>
      <w:numPr>
        <w:numId w:val="41"/>
      </w:numPr>
      <w:tabs>
        <w:tab w:val="clear" w:pos="1080"/>
      </w:tabs>
      <w:spacing w:after="0" w:line="240" w:lineRule="auto"/>
      <w:ind w:left="900"/>
      <w:contextualSpacing/>
    </w:pPr>
    <w:rPr>
      <w:sz w:val="24"/>
      <w:szCs w:val="24"/>
      <w:lang w:val="en-GB"/>
    </w:rPr>
  </w:style>
  <w:style w:type="paragraph" w:styleId="ListeMaddemi4">
    <w:name w:val="List Bullet 4"/>
    <w:basedOn w:val="Normal"/>
    <w:uiPriority w:val="98"/>
    <w:semiHidden/>
    <w:rsid w:val="007D6614"/>
    <w:pPr>
      <w:numPr>
        <w:numId w:val="42"/>
      </w:numPr>
      <w:tabs>
        <w:tab w:val="clear" w:pos="1209"/>
      </w:tabs>
      <w:spacing w:after="0" w:line="240" w:lineRule="auto"/>
      <w:ind w:left="1530" w:hanging="720"/>
      <w:contextualSpacing/>
    </w:pPr>
    <w:rPr>
      <w:sz w:val="24"/>
      <w:szCs w:val="24"/>
      <w:lang w:val="en-GB"/>
    </w:rPr>
  </w:style>
  <w:style w:type="paragraph" w:styleId="ListeMaddemi5">
    <w:name w:val="List Bullet 5"/>
    <w:basedOn w:val="Normal"/>
    <w:uiPriority w:val="98"/>
    <w:semiHidden/>
    <w:rsid w:val="007D6614"/>
    <w:pPr>
      <w:numPr>
        <w:numId w:val="43"/>
      </w:numPr>
      <w:tabs>
        <w:tab w:val="clear" w:pos="1492"/>
      </w:tabs>
      <w:spacing w:after="0" w:line="240" w:lineRule="auto"/>
      <w:ind w:left="900"/>
      <w:contextualSpacing/>
    </w:pPr>
    <w:rPr>
      <w:sz w:val="24"/>
      <w:szCs w:val="24"/>
      <w:lang w:val="en-GB"/>
    </w:rPr>
  </w:style>
  <w:style w:type="paragraph" w:styleId="ListeDevam">
    <w:name w:val="List Continue"/>
    <w:basedOn w:val="Normal"/>
    <w:uiPriority w:val="98"/>
    <w:semiHidden/>
    <w:rsid w:val="007D6614"/>
    <w:pPr>
      <w:spacing w:after="120" w:line="240" w:lineRule="auto"/>
      <w:ind w:left="283"/>
      <w:contextualSpacing/>
    </w:pPr>
    <w:rPr>
      <w:sz w:val="24"/>
      <w:szCs w:val="24"/>
      <w:lang w:val="en-GB"/>
    </w:rPr>
  </w:style>
  <w:style w:type="paragraph" w:styleId="ListeDevam2">
    <w:name w:val="List Continue 2"/>
    <w:basedOn w:val="Normal"/>
    <w:uiPriority w:val="98"/>
    <w:semiHidden/>
    <w:rsid w:val="007D6614"/>
    <w:pPr>
      <w:spacing w:after="120" w:line="240" w:lineRule="auto"/>
      <w:ind w:left="566"/>
      <w:contextualSpacing/>
    </w:pPr>
    <w:rPr>
      <w:sz w:val="24"/>
      <w:szCs w:val="24"/>
      <w:lang w:val="en-GB"/>
    </w:rPr>
  </w:style>
  <w:style w:type="paragraph" w:styleId="ListeDevam3">
    <w:name w:val="List Continue 3"/>
    <w:basedOn w:val="Normal"/>
    <w:uiPriority w:val="98"/>
    <w:semiHidden/>
    <w:rsid w:val="007D6614"/>
    <w:pPr>
      <w:spacing w:after="120" w:line="240" w:lineRule="auto"/>
      <w:ind w:left="849"/>
      <w:contextualSpacing/>
    </w:pPr>
    <w:rPr>
      <w:sz w:val="24"/>
      <w:szCs w:val="24"/>
      <w:lang w:val="en-GB"/>
    </w:rPr>
  </w:style>
  <w:style w:type="paragraph" w:styleId="ListeDevam4">
    <w:name w:val="List Continue 4"/>
    <w:basedOn w:val="Normal"/>
    <w:uiPriority w:val="98"/>
    <w:semiHidden/>
    <w:rsid w:val="007D6614"/>
    <w:pPr>
      <w:spacing w:after="120" w:line="240" w:lineRule="auto"/>
      <w:ind w:left="1132"/>
      <w:contextualSpacing/>
    </w:pPr>
    <w:rPr>
      <w:sz w:val="24"/>
      <w:szCs w:val="24"/>
      <w:lang w:val="en-GB"/>
    </w:rPr>
  </w:style>
  <w:style w:type="paragraph" w:styleId="ListeDevam5">
    <w:name w:val="List Continue 5"/>
    <w:basedOn w:val="Normal"/>
    <w:uiPriority w:val="98"/>
    <w:semiHidden/>
    <w:rsid w:val="007D6614"/>
    <w:pPr>
      <w:spacing w:after="120" w:line="240" w:lineRule="auto"/>
      <w:ind w:left="1415"/>
      <w:contextualSpacing/>
    </w:pPr>
    <w:rPr>
      <w:sz w:val="24"/>
      <w:szCs w:val="24"/>
      <w:lang w:val="en-GB"/>
    </w:rPr>
  </w:style>
  <w:style w:type="paragraph" w:styleId="ListeNumaras">
    <w:name w:val="List Number"/>
    <w:basedOn w:val="Normal"/>
    <w:uiPriority w:val="98"/>
    <w:semiHidden/>
    <w:rsid w:val="007D6614"/>
    <w:pPr>
      <w:numPr>
        <w:numId w:val="44"/>
      </w:numPr>
      <w:tabs>
        <w:tab w:val="clear" w:pos="360"/>
      </w:tabs>
      <w:spacing w:after="0" w:line="240" w:lineRule="auto"/>
      <w:ind w:left="1530" w:hanging="720"/>
      <w:contextualSpacing/>
    </w:pPr>
    <w:rPr>
      <w:sz w:val="24"/>
      <w:szCs w:val="24"/>
      <w:lang w:val="en-GB"/>
    </w:rPr>
  </w:style>
  <w:style w:type="paragraph" w:styleId="ListeNumaras2">
    <w:name w:val="List Number 2"/>
    <w:basedOn w:val="Normal"/>
    <w:uiPriority w:val="98"/>
    <w:semiHidden/>
    <w:rsid w:val="007D6614"/>
    <w:pPr>
      <w:numPr>
        <w:numId w:val="45"/>
      </w:numPr>
      <w:tabs>
        <w:tab w:val="clear" w:pos="643"/>
      </w:tabs>
      <w:spacing w:after="0" w:line="240" w:lineRule="auto"/>
      <w:ind w:left="953" w:hanging="720"/>
      <w:contextualSpacing/>
    </w:pPr>
    <w:rPr>
      <w:sz w:val="24"/>
      <w:szCs w:val="24"/>
      <w:lang w:val="en-GB"/>
    </w:rPr>
  </w:style>
  <w:style w:type="paragraph" w:styleId="ListeNumaras3">
    <w:name w:val="List Number 3"/>
    <w:basedOn w:val="Normal"/>
    <w:uiPriority w:val="98"/>
    <w:semiHidden/>
    <w:rsid w:val="007D6614"/>
    <w:pPr>
      <w:numPr>
        <w:numId w:val="46"/>
      </w:numPr>
      <w:tabs>
        <w:tab w:val="clear" w:pos="926"/>
      </w:tabs>
      <w:spacing w:after="0" w:line="240" w:lineRule="auto"/>
      <w:ind w:left="1350"/>
      <w:contextualSpacing/>
    </w:pPr>
    <w:rPr>
      <w:sz w:val="24"/>
      <w:szCs w:val="24"/>
      <w:lang w:val="en-GB"/>
    </w:rPr>
  </w:style>
  <w:style w:type="paragraph" w:styleId="ListeNumaras4">
    <w:name w:val="List Number 4"/>
    <w:basedOn w:val="Normal"/>
    <w:uiPriority w:val="98"/>
    <w:semiHidden/>
    <w:rsid w:val="007D6614"/>
    <w:pPr>
      <w:numPr>
        <w:numId w:val="47"/>
      </w:numPr>
      <w:tabs>
        <w:tab w:val="clear" w:pos="1209"/>
      </w:tabs>
      <w:spacing w:after="0" w:line="240" w:lineRule="auto"/>
      <w:ind w:left="720"/>
      <w:contextualSpacing/>
    </w:pPr>
    <w:rPr>
      <w:sz w:val="24"/>
      <w:szCs w:val="24"/>
      <w:lang w:val="en-GB"/>
    </w:rPr>
  </w:style>
  <w:style w:type="paragraph" w:styleId="ListeNumaras5">
    <w:name w:val="List Number 5"/>
    <w:basedOn w:val="Normal"/>
    <w:uiPriority w:val="98"/>
    <w:semiHidden/>
    <w:rsid w:val="007D6614"/>
    <w:pPr>
      <w:numPr>
        <w:numId w:val="48"/>
      </w:numPr>
      <w:tabs>
        <w:tab w:val="clear" w:pos="1492"/>
      </w:tabs>
      <w:spacing w:after="0" w:line="240" w:lineRule="auto"/>
      <w:ind w:left="900"/>
      <w:contextualSpacing/>
    </w:pPr>
    <w:rPr>
      <w:sz w:val="24"/>
      <w:szCs w:val="24"/>
      <w:lang w:val="en-GB"/>
    </w:rPr>
  </w:style>
  <w:style w:type="paragraph" w:customStyle="1" w:styleId="MakroMetni1">
    <w:name w:val="Makro Metni1"/>
    <w:next w:val="MakroMetni"/>
    <w:link w:val="MakroMetniChar"/>
    <w:uiPriority w:val="98"/>
    <w:semiHidden/>
    <w:rsid w:val="007D661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kroMetniChar">
    <w:name w:val="Makro Metni Char"/>
    <w:basedOn w:val="VarsaylanParagrafYazTipi"/>
    <w:link w:val="MakroMetni1"/>
    <w:uiPriority w:val="98"/>
    <w:semiHidden/>
    <w:rsid w:val="007D6614"/>
    <w:rPr>
      <w:rFonts w:ascii="Consolas" w:eastAsia="MS Mincho" w:hAnsi="Consolas" w:cs="Consolas"/>
      <w:sz w:val="20"/>
      <w:szCs w:val="20"/>
    </w:rPr>
  </w:style>
  <w:style w:type="table" w:customStyle="1" w:styleId="OrtaKlavuz11">
    <w:name w:val="Orta Kılavuz 11"/>
    <w:basedOn w:val="NormalTablo"/>
    <w:next w:val="OrtaKlavuz1"/>
    <w:uiPriority w:val="67"/>
    <w:semiHidden/>
    <w:rsid w:val="007D6614"/>
    <w:pPr>
      <w:spacing w:after="0" w:line="240" w:lineRule="auto"/>
    </w:pPr>
    <w:rPr>
      <w:sz w:val="24"/>
      <w:szCs w:val="24"/>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OrtaKlavuz1-Vurgu11">
    <w:name w:val="Orta Kılavuz 1 - Vurgu 11"/>
    <w:basedOn w:val="NormalTablo"/>
    <w:next w:val="OrtaKlavuz1-Vurgu1"/>
    <w:uiPriority w:val="67"/>
    <w:semiHidden/>
    <w:rsid w:val="007D6614"/>
    <w:pPr>
      <w:spacing w:after="0" w:line="240" w:lineRule="auto"/>
    </w:pPr>
    <w:rPr>
      <w:sz w:val="24"/>
      <w:szCs w:val="24"/>
      <w:lang w:val="en-US"/>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OrtaKlavuz1-Vurgu21">
    <w:name w:val="Orta Kılavuz 1 - Vurgu 21"/>
    <w:basedOn w:val="NormalTablo"/>
    <w:next w:val="OrtaKlavuz1-Vurgu2"/>
    <w:uiPriority w:val="67"/>
    <w:semiHidden/>
    <w:rsid w:val="007D6614"/>
    <w:pPr>
      <w:spacing w:after="0" w:line="240" w:lineRule="auto"/>
    </w:pPr>
    <w:rPr>
      <w:sz w:val="24"/>
      <w:szCs w:val="24"/>
      <w:lang w:val="en-US"/>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OrtaKlavuz1-Vurgu31">
    <w:name w:val="Orta Kılavuz 1 - Vurgu 31"/>
    <w:basedOn w:val="NormalTablo"/>
    <w:next w:val="OrtaKlavuz1-Vurgu3"/>
    <w:uiPriority w:val="67"/>
    <w:semiHidden/>
    <w:rsid w:val="007D6614"/>
    <w:pPr>
      <w:spacing w:after="0" w:line="240" w:lineRule="auto"/>
    </w:pPr>
    <w:rPr>
      <w:sz w:val="24"/>
      <w:szCs w:val="24"/>
      <w:lang w:val="en-US"/>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OrtaKlavuz1-Vurgu41">
    <w:name w:val="Orta Kılavuz 1 - Vurgu 41"/>
    <w:basedOn w:val="NormalTablo"/>
    <w:next w:val="OrtaKlavuz1-Vurgu4"/>
    <w:uiPriority w:val="67"/>
    <w:semiHidden/>
    <w:rsid w:val="007D6614"/>
    <w:pPr>
      <w:spacing w:after="0" w:line="240" w:lineRule="auto"/>
    </w:pPr>
    <w:rPr>
      <w:sz w:val="24"/>
      <w:szCs w:val="24"/>
      <w:lang w:val="en-US"/>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OrtaKlavuz1-Vurgu51">
    <w:name w:val="Orta Kılavuz 1 - Vurgu 51"/>
    <w:basedOn w:val="NormalTablo"/>
    <w:next w:val="OrtaKlavuz1-Vurgu5"/>
    <w:uiPriority w:val="67"/>
    <w:semiHidden/>
    <w:rsid w:val="007D6614"/>
    <w:pPr>
      <w:spacing w:after="0" w:line="240" w:lineRule="auto"/>
    </w:pPr>
    <w:rPr>
      <w:sz w:val="24"/>
      <w:szCs w:val="24"/>
      <w:lang w:val="en-US"/>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OrtaKlavuz1-Vurgu61">
    <w:name w:val="Orta Kılavuz 1 - Vurgu 61"/>
    <w:basedOn w:val="NormalTablo"/>
    <w:next w:val="OrtaKlavuz1-Vurgu6"/>
    <w:uiPriority w:val="67"/>
    <w:semiHidden/>
    <w:rsid w:val="007D6614"/>
    <w:pPr>
      <w:spacing w:after="0" w:line="240" w:lineRule="auto"/>
    </w:pPr>
    <w:rPr>
      <w:sz w:val="24"/>
      <w:szCs w:val="24"/>
      <w:lang w:val="en-US"/>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OrtaKlavuz21">
    <w:name w:val="Orta Kılavuz 21"/>
    <w:basedOn w:val="NormalTablo"/>
    <w:next w:val="OrtaKlavuz2"/>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OrtaKlavuz2-Vurgu11">
    <w:name w:val="Orta Kılavuz 2 - Vurgu 11"/>
    <w:basedOn w:val="NormalTablo"/>
    <w:next w:val="OrtaKlavuz2-Vurgu1"/>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OrtaKlavuz2-Vurgu21">
    <w:name w:val="Orta Kılavuz 2 - Vurgu 21"/>
    <w:basedOn w:val="NormalTablo"/>
    <w:next w:val="OrtaKlavuz2-Vurgu2"/>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OrtaKlavuz2-Vurgu31">
    <w:name w:val="Orta Kılavuz 2 - Vurgu 31"/>
    <w:basedOn w:val="NormalTablo"/>
    <w:next w:val="OrtaKlavuz2-Vurgu3"/>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OrtaKlavuz2-Vurgu41">
    <w:name w:val="Orta Kılavuz 2 - Vurgu 41"/>
    <w:basedOn w:val="NormalTablo"/>
    <w:next w:val="OrtaKlavuz2-Vurgu4"/>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OrtaKlavuz2-Vurgu51">
    <w:name w:val="Orta Kılavuz 2 - Vurgu 51"/>
    <w:basedOn w:val="NormalTablo"/>
    <w:next w:val="OrtaKlavuz2-Vurgu5"/>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OrtaKlavuz2-Vurgu61">
    <w:name w:val="Orta Kılavuz 2 - Vurgu 61"/>
    <w:basedOn w:val="NormalTablo"/>
    <w:next w:val="OrtaKlavuz2-Vurgu6"/>
    <w:uiPriority w:val="68"/>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OrtaKlavuz31">
    <w:name w:val="Orta Kılavuz 31"/>
    <w:basedOn w:val="NormalTablo"/>
    <w:next w:val="OrtaKlavuz3"/>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OrtaKlavuz3-Vurgu11">
    <w:name w:val="Orta Kılavuz 3 - Vurgu 11"/>
    <w:basedOn w:val="NormalTablo"/>
    <w:next w:val="OrtaKlavuz3-Vurgu1"/>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OrtaKlavuz3-Vurgu21">
    <w:name w:val="Orta Kılavuz 3 - Vurgu 21"/>
    <w:basedOn w:val="NormalTablo"/>
    <w:next w:val="OrtaKlavuz3-Vurgu2"/>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OrtaKlavuz3-Vurgu31">
    <w:name w:val="Orta Kılavuz 3 - Vurgu 31"/>
    <w:basedOn w:val="NormalTablo"/>
    <w:next w:val="OrtaKlavuz3-Vurgu3"/>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OrtaKlavuz3-Vurgu41">
    <w:name w:val="Orta Kılavuz 3 - Vurgu 41"/>
    <w:basedOn w:val="NormalTablo"/>
    <w:next w:val="OrtaKlavuz3-Vurgu4"/>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OrtaKlavuz3-Vurgu51">
    <w:name w:val="Orta Kılavuz 3 - Vurgu 51"/>
    <w:basedOn w:val="NormalTablo"/>
    <w:next w:val="OrtaKlavuz3-Vurgu5"/>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OrtaKlavuz3-Vurgu61">
    <w:name w:val="Orta Kılavuz 3 - Vurgu 61"/>
    <w:basedOn w:val="NormalTablo"/>
    <w:next w:val="OrtaKlavuz3-Vurgu6"/>
    <w:uiPriority w:val="69"/>
    <w:semiHidden/>
    <w:rsid w:val="007D6614"/>
    <w:pPr>
      <w:spacing w:after="0" w:line="240" w:lineRule="auto"/>
    </w:pPr>
    <w:rPr>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OrtaListe11">
    <w:name w:val="Orta Liste 11"/>
    <w:basedOn w:val="NormalTablo"/>
    <w:next w:val="OrtaListe1"/>
    <w:uiPriority w:val="65"/>
    <w:semiHidden/>
    <w:rsid w:val="007D6614"/>
    <w:pPr>
      <w:spacing w:after="0" w:line="240" w:lineRule="auto"/>
    </w:pPr>
    <w:rPr>
      <w:color w:val="000000"/>
      <w:sz w:val="24"/>
      <w:szCs w:val="24"/>
      <w:lang w:val="en-US"/>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Microsoft Himalaya"/>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Liste1-Vurgu11">
    <w:name w:val="Orta Liste 1 - Vurgu 11"/>
    <w:basedOn w:val="NormalTablo"/>
    <w:next w:val="OrtaListe1-Vurgu1"/>
    <w:uiPriority w:val="65"/>
    <w:semiHidden/>
    <w:rsid w:val="007D6614"/>
    <w:pPr>
      <w:spacing w:after="0" w:line="240" w:lineRule="auto"/>
    </w:pPr>
    <w:rPr>
      <w:color w:val="000000"/>
      <w:sz w:val="24"/>
      <w:szCs w:val="24"/>
      <w:lang w:val="en-US"/>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Microsoft Himalaya"/>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OrtaListe1-Vurgu21">
    <w:name w:val="Orta Liste 1 - Vurgu 21"/>
    <w:basedOn w:val="NormalTablo"/>
    <w:next w:val="OrtaListe1-Vurgu2"/>
    <w:uiPriority w:val="65"/>
    <w:semiHidden/>
    <w:rsid w:val="007D6614"/>
    <w:pPr>
      <w:spacing w:after="0" w:line="240" w:lineRule="auto"/>
    </w:pPr>
    <w:rPr>
      <w:color w:val="000000"/>
      <w:sz w:val="24"/>
      <w:szCs w:val="24"/>
      <w:lang w:val="en-US"/>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Microsoft Himalaya"/>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OrtaListe1-Vurgu31">
    <w:name w:val="Orta Liste 1 - Vurgu 31"/>
    <w:basedOn w:val="NormalTablo"/>
    <w:next w:val="OrtaListe1-Vurgu3"/>
    <w:uiPriority w:val="65"/>
    <w:semiHidden/>
    <w:rsid w:val="007D6614"/>
    <w:pPr>
      <w:spacing w:after="0" w:line="240" w:lineRule="auto"/>
    </w:pPr>
    <w:rPr>
      <w:color w:val="000000"/>
      <w:sz w:val="24"/>
      <w:szCs w:val="24"/>
      <w:lang w:val="en-US"/>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Microsoft Himalaya"/>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OrtaListe1-Vurgu41">
    <w:name w:val="Orta Liste 1 - Vurgu 41"/>
    <w:basedOn w:val="NormalTablo"/>
    <w:next w:val="OrtaListe1-Vurgu4"/>
    <w:uiPriority w:val="65"/>
    <w:semiHidden/>
    <w:rsid w:val="007D6614"/>
    <w:pPr>
      <w:spacing w:after="0" w:line="240" w:lineRule="auto"/>
    </w:pPr>
    <w:rPr>
      <w:color w:val="000000"/>
      <w:sz w:val="24"/>
      <w:szCs w:val="24"/>
      <w:lang w:val="en-US"/>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Microsoft Himalaya"/>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OrtaListe1-Vurgu51">
    <w:name w:val="Orta Liste 1 - Vurgu 51"/>
    <w:basedOn w:val="NormalTablo"/>
    <w:next w:val="OrtaListe1-Vurgu5"/>
    <w:uiPriority w:val="65"/>
    <w:semiHidden/>
    <w:rsid w:val="007D6614"/>
    <w:pPr>
      <w:spacing w:after="0" w:line="240" w:lineRule="auto"/>
    </w:pPr>
    <w:rPr>
      <w:color w:val="000000"/>
      <w:sz w:val="24"/>
      <w:szCs w:val="24"/>
      <w:lang w:val="en-US"/>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Microsoft Himalaya"/>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OrtaListe1-Vurgu61">
    <w:name w:val="Orta Liste 1 - Vurgu 61"/>
    <w:basedOn w:val="NormalTablo"/>
    <w:next w:val="OrtaListe1-Vurgu6"/>
    <w:uiPriority w:val="65"/>
    <w:semiHidden/>
    <w:rsid w:val="007D6614"/>
    <w:pPr>
      <w:spacing w:after="0" w:line="240" w:lineRule="auto"/>
    </w:pPr>
    <w:rPr>
      <w:color w:val="000000"/>
      <w:sz w:val="24"/>
      <w:szCs w:val="24"/>
      <w:lang w:val="en-US"/>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Microsoft Himalaya"/>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OrtaListe21">
    <w:name w:val="Orta Liste 21"/>
    <w:basedOn w:val="NormalTablo"/>
    <w:next w:val="OrtaListe2"/>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OrtaList2-Vurgu11">
    <w:name w:val="Orta List 2 - Vurgu 11"/>
    <w:basedOn w:val="NormalTablo"/>
    <w:next w:val="OrtaList2-Vurgu1"/>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OrtaListe2-Vurgu21">
    <w:name w:val="Orta Liste 2 - Vurgu 21"/>
    <w:basedOn w:val="NormalTablo"/>
    <w:next w:val="OrtaListe2-Vurgu2"/>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OrtaListe2-Vurgu31">
    <w:name w:val="Orta Liste 2 - Vurgu 31"/>
    <w:basedOn w:val="NormalTablo"/>
    <w:next w:val="OrtaListe2-Vurgu3"/>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OrtaListe2-Vurgu41">
    <w:name w:val="Orta Liste 2 - Vurgu 41"/>
    <w:basedOn w:val="NormalTablo"/>
    <w:next w:val="OrtaListe2-Vurgu4"/>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OrtaListe2-Vurgu51">
    <w:name w:val="Orta Liste 2 - Vurgu 51"/>
    <w:basedOn w:val="NormalTablo"/>
    <w:next w:val="OrtaListe2-Vurgu5"/>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OrtaListe2-Vurgu61">
    <w:name w:val="Orta Liste 2 - Vurgu 61"/>
    <w:basedOn w:val="NormalTablo"/>
    <w:next w:val="OrtaListe2-Vurgu6"/>
    <w:uiPriority w:val="66"/>
    <w:semiHidden/>
    <w:rsid w:val="007D6614"/>
    <w:pPr>
      <w:spacing w:after="0" w:line="240" w:lineRule="auto"/>
    </w:pPr>
    <w:rPr>
      <w:rFonts w:ascii="Times New Roman" w:eastAsia="MS Gothic" w:hAnsi="Times New Roman" w:cs="Microsoft Himalaya"/>
      <w:color w:val="000000"/>
      <w:sz w:val="24"/>
      <w:szCs w:val="24"/>
      <w:lang w:val="en-US"/>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OrtaGlgeleme11">
    <w:name w:val="Orta Gölgeleme 11"/>
    <w:basedOn w:val="NormalTablo"/>
    <w:next w:val="OrtaGlgeleme1"/>
    <w:uiPriority w:val="63"/>
    <w:semiHidden/>
    <w:rsid w:val="007D6614"/>
    <w:pPr>
      <w:spacing w:after="0" w:line="240" w:lineRule="auto"/>
    </w:pPr>
    <w:rPr>
      <w:sz w:val="24"/>
      <w:szCs w:val="24"/>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Vurgu11">
    <w:name w:val="Orta Gölgeleme 1 - Vurgu 11"/>
    <w:basedOn w:val="NormalTablo"/>
    <w:next w:val="OrtaGlgeleme1-Vurgu1"/>
    <w:uiPriority w:val="63"/>
    <w:semiHidden/>
    <w:rsid w:val="007D6614"/>
    <w:pPr>
      <w:spacing w:after="0" w:line="240" w:lineRule="auto"/>
    </w:pPr>
    <w:rPr>
      <w:sz w:val="24"/>
      <w:szCs w:val="24"/>
      <w:lang w:val="en-US"/>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OrtaGlgeleme1-Vurgu21">
    <w:name w:val="Orta Gölgeleme 1 - Vurgu 21"/>
    <w:basedOn w:val="NormalTablo"/>
    <w:next w:val="OrtaGlgeleme1-Vurgu2"/>
    <w:uiPriority w:val="63"/>
    <w:semiHidden/>
    <w:rsid w:val="007D6614"/>
    <w:pPr>
      <w:spacing w:after="0" w:line="240" w:lineRule="auto"/>
    </w:pPr>
    <w:rPr>
      <w:sz w:val="24"/>
      <w:szCs w:val="24"/>
      <w:lang w:val="en-US"/>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OrtaGlgeleme1-Vurgu31">
    <w:name w:val="Orta Gölgeleme 1 -  Vurgu 31"/>
    <w:basedOn w:val="NormalTablo"/>
    <w:next w:val="OrtaGlgeleme1-Vurgu3"/>
    <w:uiPriority w:val="63"/>
    <w:semiHidden/>
    <w:rsid w:val="007D6614"/>
    <w:pPr>
      <w:spacing w:after="0" w:line="240" w:lineRule="auto"/>
    </w:pPr>
    <w:rPr>
      <w:sz w:val="24"/>
      <w:szCs w:val="24"/>
      <w:lang w:val="en-US"/>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OrtaGlgeleme1-Vurgu41">
    <w:name w:val="Orta Gölgeleme 1 - Vurgu 41"/>
    <w:basedOn w:val="NormalTablo"/>
    <w:next w:val="OrtaGlgeleme1-Vurgu4"/>
    <w:uiPriority w:val="63"/>
    <w:semiHidden/>
    <w:rsid w:val="007D6614"/>
    <w:pPr>
      <w:spacing w:after="0" w:line="240" w:lineRule="auto"/>
    </w:pPr>
    <w:rPr>
      <w:sz w:val="24"/>
      <w:szCs w:val="24"/>
      <w:lang w:val="en-US"/>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OrtaGlgeleme1-Vurgu51">
    <w:name w:val="Orta Gölgeleme 1 - Vurgu 51"/>
    <w:basedOn w:val="NormalTablo"/>
    <w:next w:val="OrtaGlgeleme1-Vurgu5"/>
    <w:uiPriority w:val="63"/>
    <w:semiHidden/>
    <w:rsid w:val="007D6614"/>
    <w:pPr>
      <w:spacing w:after="0" w:line="240" w:lineRule="auto"/>
    </w:pPr>
    <w:rPr>
      <w:sz w:val="24"/>
      <w:szCs w:val="24"/>
      <w:lang w:val="en-US"/>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OrtaGlgeleme1-Vurgu61">
    <w:name w:val="Orta Gölgeleme 1 - Vurgu 61"/>
    <w:basedOn w:val="NormalTablo"/>
    <w:next w:val="OrtaGlgeleme1-Vurgu6"/>
    <w:uiPriority w:val="63"/>
    <w:semiHidden/>
    <w:rsid w:val="007D6614"/>
    <w:pPr>
      <w:spacing w:after="0" w:line="240" w:lineRule="auto"/>
    </w:pPr>
    <w:rPr>
      <w:sz w:val="24"/>
      <w:szCs w:val="24"/>
      <w:lang w:val="en-US"/>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OrtaGlgeleme21">
    <w:name w:val="Orta Gölgeleme 21"/>
    <w:basedOn w:val="NormalTablo"/>
    <w:next w:val="OrtaGlgeleme2"/>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next w:val="OrtaGlgeleme2-Vurgu1"/>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21">
    <w:name w:val="Orta Gölgeleme 2 - Vurgu 21"/>
    <w:basedOn w:val="NormalTablo"/>
    <w:next w:val="OrtaGlgeleme2-Vurgu2"/>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31">
    <w:name w:val="Orta Gölgeleme 2 -  Vurgu 31"/>
    <w:basedOn w:val="NormalTablo"/>
    <w:next w:val="OrtaGlgeleme2-Vurgu3"/>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41">
    <w:name w:val="Orta Gölgeleme 2 - Vurgu 41"/>
    <w:basedOn w:val="NormalTablo"/>
    <w:next w:val="OrtaGlgeleme2-Vurgu4"/>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51">
    <w:name w:val="Orta Gölgeleme 2 - Vurgu 51"/>
    <w:basedOn w:val="NormalTablo"/>
    <w:next w:val="OrtaGlgeleme2-Vurgu5"/>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OrtaGlgeleme2-Vurgu61">
    <w:name w:val="Orta Gölgeleme 2 - Vurgu 61"/>
    <w:basedOn w:val="NormalTablo"/>
    <w:next w:val="OrtaGlgeleme2-Vurgu6"/>
    <w:uiPriority w:val="64"/>
    <w:semiHidden/>
    <w:rsid w:val="007D6614"/>
    <w:pPr>
      <w:spacing w:after="0" w:line="240" w:lineRule="auto"/>
    </w:pPr>
    <w:rPr>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customStyle="1" w:styleId="letistBilgisi1">
    <w:name w:val="İleti Üst Bilgisi1"/>
    <w:basedOn w:val="Normal"/>
    <w:next w:val="letistBilgisi"/>
    <w:link w:val="letistBilgisiChar"/>
    <w:uiPriority w:val="98"/>
    <w:semiHidden/>
    <w:rsid w:val="007D66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MS Gothic" w:hAnsi="Times New Roman" w:cs="Microsoft Himalaya"/>
      <w:sz w:val="24"/>
      <w:szCs w:val="24"/>
      <w:lang w:val="en-GB"/>
    </w:rPr>
  </w:style>
  <w:style w:type="character" w:customStyle="1" w:styleId="letistBilgisiChar">
    <w:name w:val="İleti Üst Bilgisi Char"/>
    <w:basedOn w:val="VarsaylanParagrafYazTipi"/>
    <w:link w:val="letistBilgisi1"/>
    <w:uiPriority w:val="98"/>
    <w:semiHidden/>
    <w:rsid w:val="007D6614"/>
    <w:rPr>
      <w:rFonts w:ascii="Times New Roman" w:eastAsia="MS Gothic" w:hAnsi="Times New Roman" w:cs="Microsoft Himalaya"/>
      <w:sz w:val="24"/>
      <w:szCs w:val="24"/>
      <w:shd w:val="pct20" w:color="auto" w:fill="auto"/>
      <w:lang w:val="en-GB"/>
    </w:rPr>
  </w:style>
  <w:style w:type="paragraph" w:styleId="NormalGirinti">
    <w:name w:val="Normal Indent"/>
    <w:basedOn w:val="Normal"/>
    <w:uiPriority w:val="98"/>
    <w:semiHidden/>
    <w:rsid w:val="007D6614"/>
    <w:pPr>
      <w:spacing w:after="0" w:line="240" w:lineRule="auto"/>
      <w:ind w:left="720"/>
    </w:pPr>
    <w:rPr>
      <w:sz w:val="24"/>
      <w:szCs w:val="24"/>
      <w:lang w:val="en-GB"/>
    </w:rPr>
  </w:style>
  <w:style w:type="paragraph" w:customStyle="1" w:styleId="ECHRBullet2">
    <w:name w:val="ECHR_Bullet_2"/>
    <w:aliases w:val="_Bul_2"/>
    <w:basedOn w:val="ECHRBullet1"/>
    <w:uiPriority w:val="23"/>
    <w:semiHidden/>
    <w:rsid w:val="007D6614"/>
    <w:pPr>
      <w:numPr>
        <w:ilvl w:val="1"/>
      </w:numPr>
    </w:pPr>
  </w:style>
  <w:style w:type="paragraph" w:customStyle="1" w:styleId="ECHRBullet3">
    <w:name w:val="ECHR_Bullet_3"/>
    <w:aliases w:val="_Bul_3"/>
    <w:basedOn w:val="ECHRBullet2"/>
    <w:uiPriority w:val="23"/>
    <w:semiHidden/>
    <w:rsid w:val="007D6614"/>
    <w:pPr>
      <w:numPr>
        <w:ilvl w:val="2"/>
      </w:numPr>
    </w:pPr>
  </w:style>
  <w:style w:type="character" w:customStyle="1" w:styleId="YerTutucuMetni1">
    <w:name w:val="Yer Tutucu Metni1"/>
    <w:basedOn w:val="VarsaylanParagrafYazTipi"/>
    <w:uiPriority w:val="98"/>
    <w:semiHidden/>
    <w:rsid w:val="007D6614"/>
    <w:rPr>
      <w:color w:val="auto"/>
      <w:bdr w:val="none" w:sz="0" w:space="0" w:color="auto"/>
      <w:shd w:val="clear" w:color="auto" w:fill="DFDFDF"/>
    </w:rPr>
  </w:style>
  <w:style w:type="paragraph" w:styleId="DzMetin">
    <w:name w:val="Plain Text"/>
    <w:basedOn w:val="Normal"/>
    <w:link w:val="DzMetinChar"/>
    <w:uiPriority w:val="98"/>
    <w:semiHidden/>
    <w:rsid w:val="007D6614"/>
    <w:pPr>
      <w:spacing w:after="0" w:line="240" w:lineRule="auto"/>
    </w:pPr>
    <w:rPr>
      <w:rFonts w:ascii="Consolas" w:hAnsi="Consolas" w:cs="Consolas"/>
      <w:sz w:val="21"/>
      <w:szCs w:val="21"/>
      <w:lang w:val="en-GB"/>
    </w:rPr>
  </w:style>
  <w:style w:type="character" w:customStyle="1" w:styleId="DzMetinChar">
    <w:name w:val="Düz Metin Char"/>
    <w:basedOn w:val="VarsaylanParagrafYazTipi"/>
    <w:link w:val="DzMetin"/>
    <w:uiPriority w:val="98"/>
    <w:semiHidden/>
    <w:rsid w:val="007D6614"/>
    <w:rPr>
      <w:rFonts w:ascii="Consolas" w:hAnsi="Consolas" w:cs="Consolas"/>
      <w:sz w:val="21"/>
      <w:szCs w:val="21"/>
      <w:lang w:val="en-GB"/>
    </w:rPr>
  </w:style>
  <w:style w:type="paragraph" w:styleId="Selamlama">
    <w:name w:val="Salutation"/>
    <w:basedOn w:val="Normal"/>
    <w:next w:val="Normal"/>
    <w:link w:val="SelamlamaChar"/>
    <w:uiPriority w:val="98"/>
    <w:semiHidden/>
    <w:rsid w:val="007D6614"/>
    <w:pPr>
      <w:spacing w:after="0" w:line="240" w:lineRule="auto"/>
    </w:pPr>
    <w:rPr>
      <w:sz w:val="24"/>
      <w:szCs w:val="24"/>
      <w:lang w:val="en-GB"/>
    </w:rPr>
  </w:style>
  <w:style w:type="character" w:customStyle="1" w:styleId="SelamlamaChar">
    <w:name w:val="Selamlama Char"/>
    <w:basedOn w:val="VarsaylanParagrafYazTipi"/>
    <w:link w:val="Selamlama"/>
    <w:uiPriority w:val="98"/>
    <w:semiHidden/>
    <w:rsid w:val="007D6614"/>
    <w:rPr>
      <w:sz w:val="24"/>
      <w:szCs w:val="24"/>
      <w:lang w:val="en-GB"/>
    </w:rPr>
  </w:style>
  <w:style w:type="paragraph" w:styleId="mza">
    <w:name w:val="Signature"/>
    <w:basedOn w:val="Normal"/>
    <w:link w:val="mzaChar"/>
    <w:uiPriority w:val="98"/>
    <w:semiHidden/>
    <w:rsid w:val="007D6614"/>
    <w:pPr>
      <w:spacing w:after="0" w:line="240" w:lineRule="auto"/>
      <w:ind w:left="4252"/>
    </w:pPr>
    <w:rPr>
      <w:sz w:val="24"/>
      <w:szCs w:val="24"/>
      <w:lang w:val="en-GB"/>
    </w:rPr>
  </w:style>
  <w:style w:type="character" w:customStyle="1" w:styleId="mzaChar">
    <w:name w:val="İmza Char"/>
    <w:basedOn w:val="VarsaylanParagrafYazTipi"/>
    <w:link w:val="mza"/>
    <w:uiPriority w:val="98"/>
    <w:semiHidden/>
    <w:rsid w:val="007D6614"/>
    <w:rPr>
      <w:sz w:val="24"/>
      <w:szCs w:val="24"/>
      <w:lang w:val="en-GB"/>
    </w:rPr>
  </w:style>
  <w:style w:type="table" w:styleId="Tablo3Befektler1">
    <w:name w:val="Table 3D effects 1"/>
    <w:basedOn w:val="NormalTablo"/>
    <w:uiPriority w:val="99"/>
    <w:semiHidden/>
    <w:unhideWhenUsed/>
    <w:rsid w:val="007D6614"/>
    <w:pPr>
      <w:spacing w:after="0" w:line="240" w:lineRule="auto"/>
      <w:jc w:val="both"/>
    </w:pPr>
    <w:rPr>
      <w:sz w:val="24"/>
      <w:szCs w:val="24"/>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7D6614"/>
    <w:pPr>
      <w:spacing w:after="0" w:line="240" w:lineRule="auto"/>
      <w:jc w:val="both"/>
    </w:pPr>
    <w:rPr>
      <w:sz w:val="24"/>
      <w:szCs w:val="24"/>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7D6614"/>
    <w:pPr>
      <w:spacing w:after="0" w:line="240" w:lineRule="auto"/>
      <w:jc w:val="both"/>
    </w:pPr>
    <w:rPr>
      <w:sz w:val="24"/>
      <w:szCs w:val="24"/>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7D6614"/>
    <w:pPr>
      <w:spacing w:after="0" w:line="240" w:lineRule="auto"/>
      <w:jc w:val="both"/>
    </w:pPr>
    <w:rPr>
      <w:sz w:val="24"/>
      <w:szCs w:val="24"/>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7D6614"/>
    <w:pPr>
      <w:spacing w:after="0" w:line="240" w:lineRule="auto"/>
      <w:jc w:val="both"/>
    </w:pPr>
    <w:rPr>
      <w:sz w:val="24"/>
      <w:szCs w:val="24"/>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7D6614"/>
    <w:pPr>
      <w:spacing w:after="0" w:line="240" w:lineRule="auto"/>
      <w:jc w:val="both"/>
    </w:pPr>
    <w:rPr>
      <w:color w:val="000080"/>
      <w:sz w:val="24"/>
      <w:szCs w:val="24"/>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7D6614"/>
    <w:pPr>
      <w:spacing w:after="0" w:line="240" w:lineRule="auto"/>
      <w:jc w:val="both"/>
    </w:pPr>
    <w:rPr>
      <w:sz w:val="24"/>
      <w:szCs w:val="24"/>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7D6614"/>
    <w:pPr>
      <w:spacing w:after="0" w:line="240" w:lineRule="auto"/>
      <w:jc w:val="both"/>
    </w:pPr>
    <w:rPr>
      <w:color w:val="FFFFFF"/>
      <w:sz w:val="24"/>
      <w:szCs w:val="24"/>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7D6614"/>
    <w:pPr>
      <w:spacing w:after="0" w:line="240" w:lineRule="auto"/>
      <w:jc w:val="both"/>
    </w:pPr>
    <w:rPr>
      <w:sz w:val="24"/>
      <w:szCs w:val="24"/>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7D6614"/>
    <w:pPr>
      <w:spacing w:after="0" w:line="240" w:lineRule="auto"/>
      <w:jc w:val="both"/>
    </w:pPr>
    <w:rPr>
      <w:sz w:val="24"/>
      <w:szCs w:val="24"/>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7D6614"/>
    <w:pPr>
      <w:spacing w:after="0" w:line="240" w:lineRule="auto"/>
      <w:jc w:val="both"/>
    </w:pPr>
    <w:rPr>
      <w:b/>
      <w:bCs/>
      <w:sz w:val="24"/>
      <w:szCs w:val="24"/>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7D6614"/>
    <w:pPr>
      <w:spacing w:after="0" w:line="240" w:lineRule="auto"/>
      <w:jc w:val="both"/>
    </w:pPr>
    <w:rPr>
      <w:b/>
      <w:bCs/>
      <w:sz w:val="24"/>
      <w:szCs w:val="24"/>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7D6614"/>
    <w:pPr>
      <w:spacing w:after="0" w:line="240" w:lineRule="auto"/>
      <w:jc w:val="both"/>
    </w:pPr>
    <w:rPr>
      <w:b/>
      <w:bCs/>
      <w:sz w:val="24"/>
      <w:szCs w:val="24"/>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7D6614"/>
    <w:pPr>
      <w:spacing w:after="0" w:line="240" w:lineRule="auto"/>
      <w:jc w:val="both"/>
    </w:pPr>
    <w:rPr>
      <w:sz w:val="24"/>
      <w:szCs w:val="24"/>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7D6614"/>
    <w:pPr>
      <w:spacing w:after="0" w:line="240" w:lineRule="auto"/>
      <w:jc w:val="both"/>
    </w:pPr>
    <w:rPr>
      <w:sz w:val="24"/>
      <w:szCs w:val="24"/>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7D6614"/>
    <w:pPr>
      <w:spacing w:after="0" w:line="240" w:lineRule="auto"/>
      <w:jc w:val="both"/>
    </w:pPr>
    <w:rPr>
      <w:sz w:val="24"/>
      <w:szCs w:val="24"/>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7D6614"/>
    <w:pPr>
      <w:spacing w:after="0" w:line="240" w:lineRule="auto"/>
      <w:jc w:val="both"/>
    </w:pPr>
    <w:rPr>
      <w:sz w:val="24"/>
      <w:szCs w:val="24"/>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7D6614"/>
    <w:pPr>
      <w:spacing w:after="0" w:line="240" w:lineRule="auto"/>
      <w:jc w:val="both"/>
    </w:pPr>
    <w:rPr>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7D6614"/>
    <w:pPr>
      <w:spacing w:after="0" w:line="240" w:lineRule="auto"/>
      <w:jc w:val="both"/>
    </w:pPr>
    <w:rPr>
      <w:sz w:val="24"/>
      <w:szCs w:val="24"/>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7D6614"/>
    <w:pPr>
      <w:spacing w:after="0" w:line="240" w:lineRule="auto"/>
      <w:jc w:val="both"/>
    </w:pPr>
    <w:rPr>
      <w:sz w:val="24"/>
      <w:szCs w:val="24"/>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7D6614"/>
    <w:pPr>
      <w:spacing w:after="0" w:line="240" w:lineRule="auto"/>
      <w:jc w:val="both"/>
    </w:pPr>
    <w:rPr>
      <w:sz w:val="24"/>
      <w:szCs w:val="24"/>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7D6614"/>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7D6614"/>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7D6614"/>
    <w:pPr>
      <w:spacing w:after="0" w:line="240" w:lineRule="auto"/>
      <w:jc w:val="both"/>
    </w:pPr>
    <w:rPr>
      <w:b/>
      <w:bCs/>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7D6614"/>
    <w:pPr>
      <w:spacing w:after="0" w:line="240" w:lineRule="auto"/>
      <w:jc w:val="both"/>
    </w:pPr>
    <w:rPr>
      <w:sz w:val="24"/>
      <w:szCs w:val="24"/>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7D6614"/>
    <w:pPr>
      <w:spacing w:after="0" w:line="240" w:lineRule="auto"/>
      <w:jc w:val="both"/>
    </w:pPr>
    <w:rPr>
      <w:sz w:val="24"/>
      <w:szCs w:val="24"/>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7D6614"/>
    <w:pPr>
      <w:spacing w:after="0" w:line="240" w:lineRule="auto"/>
      <w:jc w:val="both"/>
    </w:pPr>
    <w:rPr>
      <w:sz w:val="24"/>
      <w:szCs w:val="24"/>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7D6614"/>
    <w:pPr>
      <w:spacing w:after="0" w:line="240" w:lineRule="auto"/>
      <w:jc w:val="both"/>
    </w:pPr>
    <w:rPr>
      <w:sz w:val="24"/>
      <w:szCs w:val="24"/>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7D6614"/>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7D6614"/>
    <w:pPr>
      <w:spacing w:after="0" w:line="240" w:lineRule="auto"/>
      <w:jc w:val="both"/>
    </w:pPr>
    <w:rPr>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7D6614"/>
    <w:pPr>
      <w:spacing w:after="0" w:line="240" w:lineRule="auto"/>
      <w:jc w:val="both"/>
    </w:pPr>
    <w:rPr>
      <w:sz w:val="24"/>
      <w:szCs w:val="24"/>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7D6614"/>
    <w:pPr>
      <w:spacing w:after="0" w:line="240" w:lineRule="auto"/>
      <w:jc w:val="both"/>
    </w:pPr>
    <w:rPr>
      <w:sz w:val="24"/>
      <w:szCs w:val="24"/>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7D6614"/>
    <w:pPr>
      <w:spacing w:after="0" w:line="240" w:lineRule="auto"/>
      <w:jc w:val="both"/>
    </w:pPr>
    <w:rPr>
      <w:sz w:val="24"/>
      <w:szCs w:val="24"/>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8"/>
    <w:semiHidden/>
    <w:rsid w:val="007D6614"/>
    <w:pPr>
      <w:spacing w:after="0" w:line="240" w:lineRule="auto"/>
      <w:ind w:left="240" w:hanging="240"/>
    </w:pPr>
    <w:rPr>
      <w:sz w:val="24"/>
      <w:szCs w:val="24"/>
      <w:lang w:val="en-GB"/>
    </w:rPr>
  </w:style>
  <w:style w:type="paragraph" w:styleId="ekillerTablosu">
    <w:name w:val="table of figures"/>
    <w:basedOn w:val="Normal"/>
    <w:next w:val="Normal"/>
    <w:uiPriority w:val="98"/>
    <w:semiHidden/>
    <w:rsid w:val="007D6614"/>
    <w:pPr>
      <w:spacing w:after="0" w:line="240" w:lineRule="auto"/>
    </w:pPr>
    <w:rPr>
      <w:sz w:val="24"/>
      <w:szCs w:val="24"/>
      <w:lang w:val="en-GB"/>
    </w:rPr>
  </w:style>
  <w:style w:type="table" w:styleId="TabloProfesyonel">
    <w:name w:val="Table Professional"/>
    <w:basedOn w:val="NormalTablo"/>
    <w:uiPriority w:val="99"/>
    <w:semiHidden/>
    <w:unhideWhenUsed/>
    <w:rsid w:val="007D6614"/>
    <w:pPr>
      <w:spacing w:after="0" w:line="240" w:lineRule="auto"/>
      <w:jc w:val="both"/>
    </w:pPr>
    <w:rPr>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7D6614"/>
    <w:pPr>
      <w:spacing w:after="0" w:line="240" w:lineRule="auto"/>
      <w:jc w:val="both"/>
    </w:pPr>
    <w:rPr>
      <w:sz w:val="24"/>
      <w:szCs w:val="24"/>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7D6614"/>
    <w:pPr>
      <w:spacing w:after="0" w:line="240" w:lineRule="auto"/>
      <w:jc w:val="both"/>
    </w:pPr>
    <w:rPr>
      <w:sz w:val="24"/>
      <w:szCs w:val="24"/>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7D6614"/>
    <w:pPr>
      <w:spacing w:after="0" w:line="240" w:lineRule="auto"/>
      <w:jc w:val="both"/>
    </w:pPr>
    <w:rPr>
      <w:sz w:val="24"/>
      <w:szCs w:val="24"/>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7D6614"/>
    <w:pPr>
      <w:spacing w:after="0" w:line="240" w:lineRule="auto"/>
      <w:jc w:val="both"/>
    </w:pPr>
    <w:rPr>
      <w:sz w:val="24"/>
      <w:szCs w:val="24"/>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7D6614"/>
    <w:pPr>
      <w:spacing w:after="0" w:line="240" w:lineRule="auto"/>
      <w:jc w:val="both"/>
    </w:pPr>
    <w:rPr>
      <w:sz w:val="24"/>
      <w:szCs w:val="24"/>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7D6614"/>
    <w:pPr>
      <w:spacing w:after="0" w:line="240" w:lineRule="auto"/>
      <w:jc w:val="both"/>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7D6614"/>
    <w:pPr>
      <w:spacing w:after="0" w:line="240" w:lineRule="auto"/>
      <w:jc w:val="both"/>
    </w:pPr>
    <w:rPr>
      <w:sz w:val="24"/>
      <w:szCs w:val="24"/>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7D6614"/>
    <w:pPr>
      <w:spacing w:after="0" w:line="240" w:lineRule="auto"/>
      <w:jc w:val="both"/>
    </w:pPr>
    <w:rPr>
      <w:sz w:val="24"/>
      <w:szCs w:val="24"/>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7D6614"/>
    <w:pPr>
      <w:spacing w:after="0" w:line="240" w:lineRule="auto"/>
      <w:jc w:val="both"/>
    </w:pPr>
    <w:rPr>
      <w:sz w:val="24"/>
      <w:szCs w:val="24"/>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6">
    <w:name w:val="toc 6"/>
    <w:basedOn w:val="Normal"/>
    <w:next w:val="Normal"/>
    <w:autoRedefine/>
    <w:uiPriority w:val="98"/>
    <w:semiHidden/>
    <w:rsid w:val="007D6614"/>
    <w:pPr>
      <w:tabs>
        <w:tab w:val="right" w:leader="dot" w:pos="7371"/>
      </w:tabs>
      <w:spacing w:after="60" w:line="240" w:lineRule="exact"/>
      <w:ind w:left="2041" w:right="567" w:hanging="340"/>
    </w:pPr>
    <w:rPr>
      <w:sz w:val="20"/>
      <w:szCs w:val="24"/>
      <w:lang w:val="en-GB"/>
    </w:rPr>
  </w:style>
  <w:style w:type="paragraph" w:styleId="T7">
    <w:name w:val="toc 7"/>
    <w:basedOn w:val="Normal"/>
    <w:next w:val="Normal"/>
    <w:autoRedefine/>
    <w:uiPriority w:val="98"/>
    <w:semiHidden/>
    <w:rsid w:val="007D6614"/>
    <w:pPr>
      <w:tabs>
        <w:tab w:val="right" w:leader="dot" w:pos="7371"/>
      </w:tabs>
      <w:spacing w:after="60" w:line="240" w:lineRule="exact"/>
      <w:ind w:left="2381" w:right="567" w:hanging="340"/>
    </w:pPr>
    <w:rPr>
      <w:sz w:val="20"/>
      <w:szCs w:val="24"/>
      <w:lang w:val="en-GB"/>
    </w:rPr>
  </w:style>
  <w:style w:type="paragraph" w:styleId="T8">
    <w:name w:val="toc 8"/>
    <w:basedOn w:val="Normal"/>
    <w:next w:val="Normal"/>
    <w:autoRedefine/>
    <w:uiPriority w:val="98"/>
    <w:semiHidden/>
    <w:rsid w:val="007D6614"/>
    <w:pPr>
      <w:spacing w:after="100" w:line="240" w:lineRule="auto"/>
      <w:ind w:left="1680"/>
    </w:pPr>
    <w:rPr>
      <w:sz w:val="24"/>
      <w:szCs w:val="24"/>
      <w:lang w:val="en-GB"/>
    </w:rPr>
  </w:style>
  <w:style w:type="paragraph" w:styleId="T9">
    <w:name w:val="toc 9"/>
    <w:basedOn w:val="Normal"/>
    <w:next w:val="Normal"/>
    <w:autoRedefine/>
    <w:uiPriority w:val="98"/>
    <w:semiHidden/>
    <w:rsid w:val="007D6614"/>
    <w:pPr>
      <w:spacing w:after="100" w:line="240" w:lineRule="auto"/>
      <w:ind w:left="1920"/>
    </w:pPr>
    <w:rPr>
      <w:sz w:val="24"/>
      <w:szCs w:val="24"/>
      <w:lang w:val="en-GB"/>
    </w:rPr>
  </w:style>
  <w:style w:type="paragraph" w:customStyle="1" w:styleId="ECHRFooter">
    <w:name w:val="ECHR_Footer"/>
    <w:aliases w:val="Footer_ECHR"/>
    <w:basedOn w:val="AltBilgi"/>
    <w:uiPriority w:val="57"/>
    <w:semiHidden/>
    <w:rsid w:val="007D6614"/>
    <w:rPr>
      <w:sz w:val="8"/>
    </w:rPr>
  </w:style>
  <w:style w:type="paragraph" w:customStyle="1" w:styleId="ECHRFooterLine">
    <w:name w:val="ECHR_Footer_Line"/>
    <w:aliases w:val="_Footer_Line"/>
    <w:basedOn w:val="Normal"/>
    <w:next w:val="Normal"/>
    <w:uiPriority w:val="30"/>
    <w:semiHidden/>
    <w:rsid w:val="007D6614"/>
    <w:pPr>
      <w:pBdr>
        <w:top w:val="single" w:sz="6" w:space="1" w:color="5F5F5F"/>
      </w:pBdr>
      <w:tabs>
        <w:tab w:val="center" w:pos="3686"/>
        <w:tab w:val="right" w:pos="7371"/>
      </w:tabs>
      <w:spacing w:after="0" w:line="240" w:lineRule="auto"/>
      <w:ind w:left="-1474" w:right="-1474"/>
    </w:pPr>
    <w:rPr>
      <w:color w:val="5F5F5F"/>
      <w:sz w:val="24"/>
      <w:szCs w:val="24"/>
      <w:lang w:val="en-GB"/>
    </w:rPr>
  </w:style>
  <w:style w:type="paragraph" w:customStyle="1" w:styleId="DecHCase">
    <w:name w:val="Dec_H_Case"/>
    <w:aliases w:val="_Title_3"/>
    <w:basedOn w:val="JuPara"/>
    <w:next w:val="JuPara"/>
    <w:uiPriority w:val="38"/>
    <w:qFormat/>
    <w:rsid w:val="007D6614"/>
    <w:pPr>
      <w:keepNext/>
      <w:keepLines/>
      <w:spacing w:after="280"/>
      <w:ind w:firstLine="0"/>
      <w:jc w:val="center"/>
    </w:pPr>
    <w:rPr>
      <w:rFonts w:ascii="Times New Roman" w:hAnsi="Times New Roman"/>
    </w:rPr>
  </w:style>
  <w:style w:type="paragraph" w:styleId="NotBal">
    <w:name w:val="Note Heading"/>
    <w:basedOn w:val="Normal"/>
    <w:next w:val="Normal"/>
    <w:link w:val="NotBalChar"/>
    <w:uiPriority w:val="98"/>
    <w:semiHidden/>
    <w:rsid w:val="007D6614"/>
    <w:pPr>
      <w:spacing w:after="0" w:line="240" w:lineRule="auto"/>
    </w:pPr>
    <w:rPr>
      <w:sz w:val="24"/>
      <w:szCs w:val="24"/>
      <w:lang w:val="en-GB"/>
    </w:rPr>
  </w:style>
  <w:style w:type="character" w:customStyle="1" w:styleId="NotBalChar">
    <w:name w:val="Not Başlığı Char"/>
    <w:basedOn w:val="VarsaylanParagrafYazTipi"/>
    <w:link w:val="NotBal"/>
    <w:uiPriority w:val="98"/>
    <w:semiHidden/>
    <w:rsid w:val="007D6614"/>
    <w:rPr>
      <w:sz w:val="24"/>
      <w:szCs w:val="24"/>
      <w:lang w:val="en-GB"/>
    </w:rPr>
  </w:style>
  <w:style w:type="paragraph" w:customStyle="1" w:styleId="DummyStyle">
    <w:name w:val="Dummy_Style"/>
    <w:aliases w:val="_Dummy"/>
    <w:basedOn w:val="Normal"/>
    <w:semiHidden/>
    <w:qFormat/>
    <w:rsid w:val="007D6614"/>
    <w:pPr>
      <w:spacing w:after="0" w:line="240" w:lineRule="auto"/>
    </w:pPr>
    <w:rPr>
      <w:color w:val="00B050"/>
      <w:szCs w:val="24"/>
      <w:lang w:val="en-GB"/>
    </w:rPr>
  </w:style>
  <w:style w:type="paragraph" w:customStyle="1" w:styleId="ECHRBullet4">
    <w:name w:val="ECHR_Bullet_4"/>
    <w:aliases w:val="_Bul_4"/>
    <w:basedOn w:val="ECHRBullet3"/>
    <w:uiPriority w:val="23"/>
    <w:semiHidden/>
    <w:rsid w:val="007D6614"/>
    <w:pPr>
      <w:numPr>
        <w:ilvl w:val="3"/>
      </w:numPr>
      <w:tabs>
        <w:tab w:val="clear" w:pos="1701"/>
      </w:tabs>
      <w:ind w:left="3938" w:hanging="360"/>
    </w:pPr>
  </w:style>
  <w:style w:type="paragraph" w:customStyle="1" w:styleId="ECHRConfidential">
    <w:name w:val="ECHR_Confidential"/>
    <w:aliases w:val="_Confidential"/>
    <w:basedOn w:val="Normal"/>
    <w:next w:val="Normal"/>
    <w:uiPriority w:val="42"/>
    <w:semiHidden/>
    <w:qFormat/>
    <w:rsid w:val="007D6614"/>
    <w:pPr>
      <w:spacing w:after="0" w:line="240" w:lineRule="auto"/>
      <w:jc w:val="right"/>
    </w:pPr>
    <w:rPr>
      <w:color w:val="C00000"/>
      <w:sz w:val="20"/>
      <w:szCs w:val="24"/>
      <w:lang w:val="en-GB"/>
    </w:rPr>
  </w:style>
  <w:style w:type="paragraph" w:customStyle="1" w:styleId="ECHRDecisionBody">
    <w:name w:val="ECHR_Decision_Body"/>
    <w:aliases w:val="_Decision_Body"/>
    <w:basedOn w:val="NormalJustified"/>
    <w:uiPriority w:val="54"/>
    <w:semiHidden/>
    <w:rsid w:val="007D661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D6614"/>
    <w:pPr>
      <w:spacing w:after="0" w:line="240" w:lineRule="auto"/>
      <w:contextualSpacing/>
      <w:jc w:val="center"/>
    </w:pPr>
    <w:rPr>
      <w:rFonts w:ascii="Arial" w:hAnsi="Arial"/>
      <w:i/>
      <w:color w:val="002856"/>
      <w:sz w:val="32"/>
      <w:szCs w:val="24"/>
      <w:lang w:val="en-GB"/>
    </w:rPr>
  </w:style>
  <w:style w:type="character" w:customStyle="1" w:styleId="ECHRDivisionNameChar">
    <w:name w:val="ECHR_DivisionName Char"/>
    <w:aliases w:val="_Div_Name Char"/>
    <w:basedOn w:val="VarsaylanParagrafYazTipi"/>
    <w:link w:val="ECHRDivisionName"/>
    <w:uiPriority w:val="41"/>
    <w:semiHidden/>
    <w:rsid w:val="007D6614"/>
    <w:rPr>
      <w:rFonts w:ascii="Arial" w:hAnsi="Arial"/>
      <w:i/>
      <w:color w:val="002856"/>
      <w:sz w:val="32"/>
      <w:szCs w:val="24"/>
      <w:lang w:val="en-GB"/>
    </w:rPr>
  </w:style>
  <w:style w:type="table" w:customStyle="1" w:styleId="KlavuzTablo1Ak1">
    <w:name w:val="Kılavuz Tablo 1 Açık1"/>
    <w:basedOn w:val="NormalTablo"/>
    <w:uiPriority w:val="46"/>
    <w:semiHidden/>
    <w:rsid w:val="007D6614"/>
    <w:pPr>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CHRFooterLineLandscape">
    <w:name w:val="ECHR_Footer_Line_Landscape"/>
    <w:aliases w:val="_Footer_Line_Landscape"/>
    <w:basedOn w:val="Normal"/>
    <w:uiPriority w:val="30"/>
    <w:semiHidden/>
    <w:rsid w:val="007D6614"/>
    <w:pPr>
      <w:pBdr>
        <w:top w:val="single" w:sz="8" w:space="1" w:color="7F7F7F"/>
      </w:pBdr>
      <w:tabs>
        <w:tab w:val="center" w:pos="6146"/>
        <w:tab w:val="right" w:pos="12293"/>
      </w:tabs>
      <w:spacing w:after="0" w:line="240" w:lineRule="auto"/>
      <w:ind w:left="-1474" w:right="-1474"/>
    </w:pPr>
    <w:rPr>
      <w:color w:val="474747"/>
      <w:szCs w:val="24"/>
      <w:lang w:val="en-GB"/>
    </w:rPr>
  </w:style>
  <w:style w:type="paragraph" w:customStyle="1" w:styleId="ECHRParaHanging">
    <w:name w:val="ECHR_Para_Hanging"/>
    <w:aliases w:val="_Hanging"/>
    <w:basedOn w:val="Normal"/>
    <w:uiPriority w:val="8"/>
    <w:semiHidden/>
    <w:qFormat/>
    <w:rsid w:val="007D6614"/>
    <w:pPr>
      <w:spacing w:after="0" w:line="240" w:lineRule="auto"/>
      <w:ind w:left="567" w:hanging="567"/>
      <w:jc w:val="both"/>
    </w:pPr>
    <w:rPr>
      <w:sz w:val="24"/>
      <w:szCs w:val="24"/>
      <w:lang w:val="en-GB"/>
    </w:rPr>
  </w:style>
  <w:style w:type="paragraph" w:customStyle="1" w:styleId="ECHRHeaderLandscape">
    <w:name w:val="ECHR_Header_Landscape"/>
    <w:aliases w:val="_Header_Landscape"/>
    <w:basedOn w:val="JuHeader"/>
    <w:uiPriority w:val="29"/>
    <w:rsid w:val="007D6614"/>
    <w:pPr>
      <w:tabs>
        <w:tab w:val="center" w:pos="6146"/>
        <w:tab w:val="right" w:pos="13778"/>
      </w:tabs>
      <w:ind w:left="-1474" w:right="-1474"/>
    </w:pPr>
  </w:style>
  <w:style w:type="paragraph" w:customStyle="1" w:styleId="ECHRParaIndent">
    <w:name w:val="ECHR_Para_Indent"/>
    <w:aliases w:val="_Indent"/>
    <w:basedOn w:val="Normal"/>
    <w:uiPriority w:val="7"/>
    <w:semiHidden/>
    <w:qFormat/>
    <w:rsid w:val="007D6614"/>
    <w:pPr>
      <w:spacing w:before="120" w:after="120" w:line="240" w:lineRule="auto"/>
      <w:ind w:left="284"/>
      <w:jc w:val="both"/>
    </w:pPr>
    <w:rPr>
      <w:sz w:val="24"/>
      <w:szCs w:val="24"/>
      <w:lang w:val="en-GB"/>
    </w:rPr>
  </w:style>
  <w:style w:type="paragraph" w:customStyle="1" w:styleId="ECHRLine">
    <w:name w:val="ECHR_Line"/>
    <w:aliases w:val="_Line"/>
    <w:basedOn w:val="NormalJustified"/>
    <w:next w:val="Normal"/>
    <w:uiPriority w:val="46"/>
    <w:semiHidden/>
    <w:rsid w:val="007D6614"/>
    <w:pPr>
      <w:pBdr>
        <w:bottom w:val="single" w:sz="12" w:space="1" w:color="949494"/>
      </w:pBdr>
      <w:spacing w:after="120"/>
    </w:pPr>
    <w:rPr>
      <w:sz w:val="12"/>
    </w:rPr>
  </w:style>
  <w:style w:type="paragraph" w:customStyle="1" w:styleId="DecList">
    <w:name w:val="Dec_List"/>
    <w:aliases w:val="_List"/>
    <w:basedOn w:val="JuList"/>
    <w:uiPriority w:val="22"/>
    <w:rsid w:val="007D6614"/>
    <w:pPr>
      <w:numPr>
        <w:numId w:val="0"/>
      </w:numPr>
      <w:ind w:left="284"/>
    </w:pPr>
  </w:style>
  <w:style w:type="paragraph" w:customStyle="1" w:styleId="ECHRNumberedList1">
    <w:name w:val="ECHR_Numbered_List_1"/>
    <w:aliases w:val="_Num_1"/>
    <w:basedOn w:val="Normal"/>
    <w:uiPriority w:val="23"/>
    <w:semiHidden/>
    <w:qFormat/>
    <w:rsid w:val="007D6614"/>
    <w:pPr>
      <w:numPr>
        <w:numId w:val="38"/>
      </w:numPr>
      <w:spacing w:before="60" w:after="60" w:line="240" w:lineRule="auto"/>
    </w:pPr>
    <w:rPr>
      <w:sz w:val="24"/>
      <w:szCs w:val="24"/>
      <w:lang w:val="en-GB"/>
    </w:rPr>
  </w:style>
  <w:style w:type="paragraph" w:customStyle="1" w:styleId="ECHRNumberedList2">
    <w:name w:val="ECHR_Numbered_List_2"/>
    <w:aliases w:val="_Num_2"/>
    <w:basedOn w:val="ECHRNumberedList1"/>
    <w:uiPriority w:val="23"/>
    <w:semiHidden/>
    <w:rsid w:val="007D6614"/>
    <w:pPr>
      <w:numPr>
        <w:ilvl w:val="1"/>
      </w:numPr>
    </w:pPr>
  </w:style>
  <w:style w:type="paragraph" w:customStyle="1" w:styleId="ECHRNumberedList3">
    <w:name w:val="ECHR_Numbered_List_3"/>
    <w:aliases w:val="_Num_3"/>
    <w:basedOn w:val="ECHRNumberedList2"/>
    <w:uiPriority w:val="23"/>
    <w:semiHidden/>
    <w:rsid w:val="007D6614"/>
    <w:pPr>
      <w:numPr>
        <w:ilvl w:val="2"/>
      </w:numPr>
      <w:tabs>
        <w:tab w:val="clear" w:pos="1758"/>
      </w:tabs>
      <w:ind w:left="2160" w:hanging="180"/>
    </w:pPr>
  </w:style>
  <w:style w:type="paragraph" w:customStyle="1" w:styleId="ECHRPlaceholder">
    <w:name w:val="ECHR_Placeholder"/>
    <w:aliases w:val="_Placeholder"/>
    <w:basedOn w:val="JuSigned"/>
    <w:uiPriority w:val="31"/>
    <w:rsid w:val="007D6614"/>
    <w:rPr>
      <w:color w:val="FFFFFF"/>
    </w:rPr>
  </w:style>
  <w:style w:type="character" w:customStyle="1" w:styleId="ECHRRed">
    <w:name w:val="ECHR_Red"/>
    <w:aliases w:val="_Red"/>
    <w:basedOn w:val="VarsaylanParagrafYazTipi"/>
    <w:uiPriority w:val="15"/>
    <w:semiHidden/>
    <w:qFormat/>
    <w:rsid w:val="007D6614"/>
    <w:rPr>
      <w:color w:val="C00000"/>
    </w:rPr>
  </w:style>
  <w:style w:type="paragraph" w:customStyle="1" w:styleId="ECHRHeaderDate">
    <w:name w:val="ECHR_Header_Date"/>
    <w:aliases w:val="_Ref_Date"/>
    <w:basedOn w:val="Normal"/>
    <w:uiPriority w:val="44"/>
    <w:semiHidden/>
    <w:qFormat/>
    <w:rsid w:val="007D6614"/>
    <w:pPr>
      <w:spacing w:after="0" w:line="240" w:lineRule="auto"/>
      <w:jc w:val="right"/>
    </w:pPr>
    <w:rPr>
      <w:sz w:val="20"/>
      <w:szCs w:val="24"/>
      <w:lang w:val="en-GB"/>
    </w:rPr>
  </w:style>
  <w:style w:type="paragraph" w:customStyle="1" w:styleId="ECHRHeaderRefIt">
    <w:name w:val="ECHR_Header_Ref_It"/>
    <w:aliases w:val="_Ref_Ital"/>
    <w:basedOn w:val="Normal"/>
    <w:next w:val="ECHRHeaderDate"/>
    <w:uiPriority w:val="43"/>
    <w:qFormat/>
    <w:rsid w:val="007D6614"/>
    <w:pPr>
      <w:spacing w:after="0" w:line="240" w:lineRule="auto"/>
      <w:jc w:val="right"/>
    </w:pPr>
    <w:rPr>
      <w:i/>
      <w:sz w:val="20"/>
      <w:szCs w:val="24"/>
      <w:lang w:val="en-GB"/>
    </w:rPr>
  </w:style>
  <w:style w:type="paragraph" w:customStyle="1" w:styleId="ECHRSpacer">
    <w:name w:val="ECHR_Spacer"/>
    <w:aliases w:val="_Spacer"/>
    <w:basedOn w:val="Normal"/>
    <w:uiPriority w:val="45"/>
    <w:semiHidden/>
    <w:rsid w:val="007D6614"/>
    <w:pPr>
      <w:spacing w:after="0" w:line="240" w:lineRule="auto"/>
    </w:pPr>
    <w:rPr>
      <w:sz w:val="4"/>
      <w:szCs w:val="24"/>
      <w:lang w:val="en-GB"/>
    </w:rPr>
  </w:style>
  <w:style w:type="paragraph" w:customStyle="1" w:styleId="ECHRTitleCentre1">
    <w:name w:val="ECHR_Title_Centre_1"/>
    <w:aliases w:val="_Title_C_1"/>
    <w:basedOn w:val="Normal"/>
    <w:next w:val="Normal"/>
    <w:uiPriority w:val="26"/>
    <w:semiHidden/>
    <w:qFormat/>
    <w:rsid w:val="007D6614"/>
    <w:pPr>
      <w:keepNext/>
      <w:keepLines/>
      <w:spacing w:before="240" w:after="0" w:line="240" w:lineRule="auto"/>
      <w:contextualSpacing/>
      <w:jc w:val="center"/>
    </w:pPr>
    <w:rPr>
      <w:rFonts w:ascii="Times New Roman" w:hAnsi="Times New Roman"/>
      <w:b/>
      <w:color w:val="2F2F2F"/>
      <w:sz w:val="32"/>
      <w:szCs w:val="24"/>
      <w:lang w:val="en-GB"/>
    </w:rPr>
  </w:style>
  <w:style w:type="paragraph" w:customStyle="1" w:styleId="ECHRTitleCentre2">
    <w:name w:val="ECHR_Title_Centre_2"/>
    <w:aliases w:val="_Title_C_2"/>
    <w:basedOn w:val="Normal"/>
    <w:next w:val="Normal"/>
    <w:uiPriority w:val="26"/>
    <w:semiHidden/>
    <w:qFormat/>
    <w:rsid w:val="007D6614"/>
    <w:pPr>
      <w:keepNext/>
      <w:keepLines/>
      <w:spacing w:before="240" w:after="0" w:line="240" w:lineRule="auto"/>
      <w:contextualSpacing/>
      <w:jc w:val="center"/>
    </w:pPr>
    <w:rPr>
      <w:rFonts w:ascii="Times New Roman" w:hAnsi="Times New Roman"/>
      <w:b/>
      <w:color w:val="474747"/>
      <w:sz w:val="28"/>
      <w:szCs w:val="24"/>
      <w:lang w:val="en-GB"/>
    </w:rPr>
  </w:style>
  <w:style w:type="paragraph" w:customStyle="1" w:styleId="ECHRTitleCentre3">
    <w:name w:val="ECHR_Title_Centre_3"/>
    <w:aliases w:val="_Title_C_3"/>
    <w:basedOn w:val="Normal"/>
    <w:next w:val="Normal"/>
    <w:uiPriority w:val="26"/>
    <w:semiHidden/>
    <w:qFormat/>
    <w:rsid w:val="007D6614"/>
    <w:pPr>
      <w:keepNext/>
      <w:keepLines/>
      <w:spacing w:before="240" w:after="0" w:line="240" w:lineRule="auto"/>
      <w:contextualSpacing/>
      <w:jc w:val="center"/>
    </w:pPr>
    <w:rPr>
      <w:rFonts w:ascii="Times New Roman" w:hAnsi="Times New Roman"/>
      <w:b/>
      <w:color w:val="474747"/>
      <w:sz w:val="24"/>
      <w:szCs w:val="24"/>
      <w:lang w:val="en-GB"/>
    </w:rPr>
  </w:style>
  <w:style w:type="paragraph" w:customStyle="1" w:styleId="ECHRTitleCentreTOC1">
    <w:name w:val="ECHR_Title_Centre_TOC_1"/>
    <w:aliases w:val="_Title_C_TOC"/>
    <w:basedOn w:val="ECHRTitleCentre1"/>
    <w:next w:val="Normal"/>
    <w:uiPriority w:val="25"/>
    <w:semiHidden/>
    <w:qFormat/>
    <w:rsid w:val="007D6614"/>
    <w:pPr>
      <w:outlineLvl w:val="0"/>
    </w:pPr>
  </w:style>
  <w:style w:type="paragraph" w:customStyle="1" w:styleId="ECHRTitle1">
    <w:name w:val="ECHR_Title_1"/>
    <w:aliases w:val="_Title_L_1"/>
    <w:basedOn w:val="Normal"/>
    <w:next w:val="Normal"/>
    <w:uiPriority w:val="28"/>
    <w:semiHidden/>
    <w:qFormat/>
    <w:rsid w:val="007D6614"/>
    <w:pPr>
      <w:keepNext/>
      <w:keepLines/>
      <w:spacing w:before="240" w:after="0" w:line="240" w:lineRule="auto"/>
      <w:contextualSpacing/>
    </w:pPr>
    <w:rPr>
      <w:rFonts w:ascii="Times New Roman" w:hAnsi="Times New Roman"/>
      <w:b/>
      <w:color w:val="2F2F2F"/>
      <w:sz w:val="32"/>
      <w:szCs w:val="24"/>
      <w:lang w:val="en-GB"/>
    </w:rPr>
  </w:style>
  <w:style w:type="paragraph" w:customStyle="1" w:styleId="ECHRTitle2">
    <w:name w:val="ECHR_Title_2"/>
    <w:aliases w:val="_Title_L_2"/>
    <w:basedOn w:val="Normal"/>
    <w:next w:val="Normal"/>
    <w:uiPriority w:val="28"/>
    <w:semiHidden/>
    <w:qFormat/>
    <w:rsid w:val="007D6614"/>
    <w:pPr>
      <w:keepNext/>
      <w:keepLines/>
      <w:spacing w:before="240" w:after="0" w:line="240" w:lineRule="auto"/>
      <w:contextualSpacing/>
    </w:pPr>
    <w:rPr>
      <w:rFonts w:ascii="Times New Roman" w:hAnsi="Times New Roman"/>
      <w:b/>
      <w:color w:val="474747"/>
      <w:sz w:val="28"/>
      <w:szCs w:val="24"/>
      <w:lang w:val="en-GB"/>
    </w:rPr>
  </w:style>
  <w:style w:type="paragraph" w:customStyle="1" w:styleId="ECHRTitle3">
    <w:name w:val="ECHR_Title_3"/>
    <w:aliases w:val="_Title_L_3"/>
    <w:basedOn w:val="Normal"/>
    <w:next w:val="Normal"/>
    <w:uiPriority w:val="28"/>
    <w:semiHidden/>
    <w:qFormat/>
    <w:rsid w:val="007D6614"/>
    <w:pPr>
      <w:keepNext/>
      <w:keepLines/>
      <w:spacing w:before="240" w:after="0" w:line="240" w:lineRule="auto"/>
      <w:contextualSpacing/>
    </w:pPr>
    <w:rPr>
      <w:rFonts w:ascii="Times New Roman" w:hAnsi="Times New Roman"/>
      <w:b/>
      <w:color w:val="474747"/>
      <w:sz w:val="24"/>
      <w:szCs w:val="24"/>
      <w:lang w:val="en-GB"/>
    </w:rPr>
  </w:style>
  <w:style w:type="paragraph" w:customStyle="1" w:styleId="ECHRTitleTOC1">
    <w:name w:val="ECHR_Title_TOC_1"/>
    <w:aliases w:val="_Title_L_TOC"/>
    <w:basedOn w:val="ECHRTitle1"/>
    <w:next w:val="Normal"/>
    <w:uiPriority w:val="27"/>
    <w:semiHidden/>
    <w:qFormat/>
    <w:rsid w:val="007D6614"/>
    <w:pPr>
      <w:outlineLvl w:val="0"/>
    </w:pPr>
  </w:style>
  <w:style w:type="table" w:customStyle="1" w:styleId="ECHRTable2">
    <w:name w:val="ECHR_Table_2"/>
    <w:basedOn w:val="NormalTablo"/>
    <w:uiPriority w:val="99"/>
    <w:rsid w:val="007D6614"/>
    <w:pPr>
      <w:tabs>
        <w:tab w:val="left" w:pos="567"/>
        <w:tab w:val="left" w:pos="851"/>
        <w:tab w:val="right" w:pos="5273"/>
      </w:tabs>
      <w:spacing w:after="0" w:line="240" w:lineRule="auto"/>
    </w:pPr>
    <w:rPr>
      <w:color w:val="262626"/>
      <w:sz w:val="24"/>
      <w:szCs w:val="24"/>
      <w:lang w:val="en-US"/>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NormalTablo"/>
    <w:uiPriority w:val="99"/>
    <w:rsid w:val="007D6614"/>
    <w:pPr>
      <w:spacing w:after="0" w:line="240" w:lineRule="auto"/>
    </w:pPr>
    <w:rPr>
      <w:sz w:val="24"/>
      <w:szCs w:val="24"/>
      <w:lang w:val="en-US"/>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Grey">
    <w:name w:val="ECHR_Table_Grey"/>
    <w:basedOn w:val="NormalTablo"/>
    <w:uiPriority w:val="99"/>
    <w:rsid w:val="007D6614"/>
    <w:pPr>
      <w:tabs>
        <w:tab w:val="left" w:pos="397"/>
      </w:tabs>
      <w:spacing w:after="0" w:line="240" w:lineRule="auto"/>
    </w:pPr>
    <w:rPr>
      <w:lang w:val="en-US"/>
    </w:r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character" w:customStyle="1" w:styleId="JuNames0">
    <w:name w:val="Ju_Names"/>
    <w:rsid w:val="007D6614"/>
    <w:rPr>
      <w:smallCaps/>
    </w:rPr>
  </w:style>
  <w:style w:type="character" w:customStyle="1" w:styleId="PFonction">
    <w:name w:val="P_Fonction"/>
    <w:basedOn w:val="VarsaylanParagrafYazTipi"/>
    <w:uiPriority w:val="15"/>
    <w:rsid w:val="007D6614"/>
    <w:rPr>
      <w:i/>
      <w:iCs/>
    </w:rPr>
  </w:style>
  <w:style w:type="character" w:customStyle="1" w:styleId="JuHiChar">
    <w:name w:val="Ju_H_i Char"/>
    <w:basedOn w:val="VarsaylanParagrafYazTipi"/>
    <w:link w:val="JuHi"/>
    <w:uiPriority w:val="17"/>
    <w:rsid w:val="007D6614"/>
    <w:rPr>
      <w:rFonts w:asciiTheme="majorHAnsi" w:eastAsiaTheme="majorEastAsia" w:hAnsiTheme="majorHAnsi" w:cstheme="majorBidi"/>
      <w:bCs/>
      <w:i/>
      <w:iCs/>
      <w:sz w:val="20"/>
      <w:lang w:val="en-GB" w:bidi="en-US"/>
    </w:rPr>
  </w:style>
  <w:style w:type="character" w:customStyle="1" w:styleId="JuParaCar">
    <w:name w:val="Ju_Para Car"/>
    <w:rsid w:val="007D6614"/>
    <w:rPr>
      <w:sz w:val="24"/>
      <w:lang w:val="en-GB" w:eastAsia="fr-FR" w:bidi="ar-SA"/>
    </w:rPr>
  </w:style>
  <w:style w:type="paragraph" w:customStyle="1" w:styleId="Dzeltme1">
    <w:name w:val="Düzeltme1"/>
    <w:next w:val="Dzeltme"/>
    <w:hidden/>
    <w:uiPriority w:val="99"/>
    <w:semiHidden/>
    <w:rsid w:val="007D6614"/>
    <w:pPr>
      <w:spacing w:after="0" w:line="240" w:lineRule="auto"/>
    </w:pPr>
    <w:rPr>
      <w:rFonts w:eastAsia="MS Mincho"/>
      <w:sz w:val="24"/>
      <w:lang w:val="fr-FR"/>
    </w:rPr>
  </w:style>
  <w:style w:type="paragraph" w:customStyle="1" w:styleId="JuQuotSub">
    <w:name w:val="Ju_Quot_Sub"/>
    <w:basedOn w:val="JuQuot"/>
    <w:rsid w:val="007D6614"/>
    <w:pPr>
      <w:ind w:left="709"/>
    </w:pPr>
  </w:style>
  <w:style w:type="table" w:customStyle="1" w:styleId="KlavuzTablo1Ak-Vurgu11">
    <w:name w:val="Kılavuz Tablo 1 Açık - Vurgu 11"/>
    <w:basedOn w:val="NormalTablo"/>
    <w:uiPriority w:val="46"/>
    <w:semiHidden/>
    <w:rsid w:val="007D6614"/>
    <w:pPr>
      <w:spacing w:after="0" w:line="240" w:lineRule="auto"/>
    </w:pPr>
    <w:rPr>
      <w:lang w:val="en-US"/>
    </w:rPr>
    <w:tblPr>
      <w:tblStyleRowBandSize w:val="1"/>
      <w:tblStyleColBandSize w:val="1"/>
      <w:tblBorders>
        <w:top w:val="single" w:sz="4" w:space="0" w:color="7ECBFF"/>
        <w:left w:val="single" w:sz="4" w:space="0" w:color="7ECBFF"/>
        <w:bottom w:val="single" w:sz="4" w:space="0" w:color="7ECBFF"/>
        <w:right w:val="single" w:sz="4" w:space="0" w:color="7ECBFF"/>
        <w:insideH w:val="single" w:sz="4" w:space="0" w:color="7ECBFF"/>
        <w:insideV w:val="single" w:sz="4" w:space="0" w:color="7ECBFF"/>
      </w:tblBorders>
    </w:tblPr>
    <w:tblStylePr w:type="firstRow">
      <w:rPr>
        <w:b/>
        <w:bCs/>
      </w:rPr>
      <w:tblPr/>
      <w:tcPr>
        <w:tcBorders>
          <w:bottom w:val="single" w:sz="12" w:space="0" w:color="3DB2FF"/>
        </w:tcBorders>
      </w:tcPr>
    </w:tblStylePr>
    <w:tblStylePr w:type="lastRow">
      <w:rPr>
        <w:b/>
        <w:bCs/>
      </w:rPr>
      <w:tblPr/>
      <w:tcPr>
        <w:tcBorders>
          <w:top w:val="double" w:sz="2" w:space="0" w:color="3DB2FF"/>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semiHidden/>
    <w:rsid w:val="007D6614"/>
    <w:pPr>
      <w:spacing w:after="0" w:line="240" w:lineRule="auto"/>
    </w:pPr>
    <w:rPr>
      <w:lang w:val="en-US"/>
    </w:rPr>
    <w:tblPr>
      <w:tblStyleRowBandSize w:val="1"/>
      <w:tblStyleColBandSize w:val="1"/>
      <w:tblBorders>
        <w:top w:val="single" w:sz="4" w:space="0" w:color="FF7F7F"/>
        <w:left w:val="single" w:sz="4" w:space="0" w:color="FF7F7F"/>
        <w:bottom w:val="single" w:sz="4" w:space="0" w:color="FF7F7F"/>
        <w:right w:val="single" w:sz="4" w:space="0" w:color="FF7F7F"/>
        <w:insideH w:val="single" w:sz="4" w:space="0" w:color="FF7F7F"/>
        <w:insideV w:val="single" w:sz="4" w:space="0" w:color="FF7F7F"/>
      </w:tblBorders>
    </w:tblPr>
    <w:tblStylePr w:type="firstRow">
      <w:rPr>
        <w:b/>
        <w:bCs/>
      </w:rPr>
      <w:tblPr/>
      <w:tcPr>
        <w:tcBorders>
          <w:bottom w:val="single" w:sz="12" w:space="0" w:color="FF4040"/>
        </w:tcBorders>
      </w:tcPr>
    </w:tblStylePr>
    <w:tblStylePr w:type="lastRow">
      <w:rPr>
        <w:b/>
        <w:bCs/>
      </w:rPr>
      <w:tblPr/>
      <w:tcPr>
        <w:tcBorders>
          <w:top w:val="double" w:sz="2" w:space="0" w:color="FF4040"/>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semiHidden/>
    <w:rsid w:val="007D6614"/>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semiHidden/>
    <w:rsid w:val="007D6614"/>
    <w:pPr>
      <w:spacing w:after="0" w:line="240" w:lineRule="auto"/>
    </w:pPr>
    <w:rPr>
      <w:lang w:val="en-US"/>
    </w:rPr>
    <w:tblPr>
      <w:tblStyleRowBandSize w:val="1"/>
      <w:tblStyleColBandSize w:val="1"/>
      <w:tblBorders>
        <w:top w:val="single" w:sz="4" w:space="0" w:color="D5D5D5"/>
        <w:left w:val="single" w:sz="4" w:space="0" w:color="D5D5D5"/>
        <w:bottom w:val="single" w:sz="4" w:space="0" w:color="D5D5D5"/>
        <w:right w:val="single" w:sz="4" w:space="0" w:color="D5D5D5"/>
        <w:insideH w:val="single" w:sz="4" w:space="0" w:color="D5D5D5"/>
        <w:insideV w:val="single" w:sz="4" w:space="0" w:color="D5D5D5"/>
      </w:tblBorders>
    </w:tblPr>
    <w:tblStylePr w:type="firstRow">
      <w:rPr>
        <w:b/>
        <w:bCs/>
      </w:rPr>
      <w:tblPr/>
      <w:tcPr>
        <w:tcBorders>
          <w:bottom w:val="single" w:sz="12" w:space="0" w:color="C0C0C0"/>
        </w:tcBorders>
      </w:tcPr>
    </w:tblStylePr>
    <w:tblStylePr w:type="lastRow">
      <w:rPr>
        <w:b/>
        <w:bCs/>
      </w:rPr>
      <w:tblPr/>
      <w:tcPr>
        <w:tcBorders>
          <w:top w:val="double" w:sz="2" w:space="0" w:color="C0C0C0"/>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semiHidden/>
    <w:rsid w:val="007D6614"/>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semiHidden/>
    <w:rsid w:val="007D6614"/>
    <w:pPr>
      <w:spacing w:after="0" w:line="240" w:lineRule="auto"/>
    </w:pPr>
    <w:rPr>
      <w:lang w:val="en-US"/>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KlavuzTablo21">
    <w:name w:val="Kılavuz Tablo 21"/>
    <w:basedOn w:val="NormalTablo"/>
    <w:uiPriority w:val="47"/>
    <w:semiHidden/>
    <w:rsid w:val="007D6614"/>
    <w:pPr>
      <w:spacing w:after="0" w:line="240" w:lineRule="auto"/>
    </w:pPr>
    <w:rPr>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0072BC"/>
      </w:tcPr>
    </w:tblStylePr>
    <w:tblStylePr w:type="lastRow">
      <w:rPr>
        <w:b/>
        <w:bCs/>
      </w:rPr>
      <w:tblPr/>
      <w:tcPr>
        <w:tcBorders>
          <w:top w:val="double" w:sz="2" w:space="0" w:color="666666"/>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2-Vurgu11">
    <w:name w:val="Kılavuz Tablo 2 - Vurgu 11"/>
    <w:basedOn w:val="NormalTablo"/>
    <w:uiPriority w:val="47"/>
    <w:semiHidden/>
    <w:rsid w:val="007D6614"/>
    <w:pPr>
      <w:spacing w:after="0" w:line="240" w:lineRule="auto"/>
    </w:pPr>
    <w:rPr>
      <w:lang w:val="en-US"/>
    </w:rPr>
    <w:tblPr>
      <w:tblStyleRowBandSize w:val="1"/>
      <w:tblStyleColBandSize w:val="1"/>
      <w:tblBorders>
        <w:top w:val="single" w:sz="2" w:space="0" w:color="3DB2FF"/>
        <w:bottom w:val="single" w:sz="2" w:space="0" w:color="3DB2FF"/>
        <w:insideH w:val="single" w:sz="2" w:space="0" w:color="3DB2FF"/>
        <w:insideV w:val="single" w:sz="2" w:space="0" w:color="3DB2FF"/>
      </w:tblBorders>
    </w:tblPr>
    <w:tblStylePr w:type="firstRow">
      <w:rPr>
        <w:b/>
        <w:bCs/>
      </w:rPr>
      <w:tblPr/>
      <w:tcPr>
        <w:tcBorders>
          <w:top w:val="nil"/>
          <w:bottom w:val="single" w:sz="12" w:space="0" w:color="3DB2FF"/>
          <w:insideH w:val="nil"/>
          <w:insideV w:val="nil"/>
        </w:tcBorders>
        <w:shd w:val="clear" w:color="auto" w:fill="0072BC"/>
      </w:tcPr>
    </w:tblStylePr>
    <w:tblStylePr w:type="lastRow">
      <w:rPr>
        <w:b/>
        <w:bCs/>
      </w:rPr>
      <w:tblPr/>
      <w:tcPr>
        <w:tcBorders>
          <w:top w:val="double" w:sz="2" w:space="0" w:color="3DB2F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KlavuzTablo2-Vurgu21">
    <w:name w:val="Kılavuz Tablo 2 - Vurgu 21"/>
    <w:basedOn w:val="NormalTablo"/>
    <w:uiPriority w:val="47"/>
    <w:semiHidden/>
    <w:rsid w:val="007D6614"/>
    <w:pPr>
      <w:spacing w:after="0" w:line="240" w:lineRule="auto"/>
    </w:pPr>
    <w:rPr>
      <w:lang w:val="en-US"/>
    </w:rPr>
    <w:tblPr>
      <w:tblStyleRowBandSize w:val="1"/>
      <w:tblStyleColBandSize w:val="1"/>
      <w:tblBorders>
        <w:top w:val="single" w:sz="2" w:space="0" w:color="FF4040"/>
        <w:bottom w:val="single" w:sz="2" w:space="0" w:color="FF4040"/>
        <w:insideH w:val="single" w:sz="2" w:space="0" w:color="FF4040"/>
        <w:insideV w:val="single" w:sz="2" w:space="0" w:color="FF4040"/>
      </w:tblBorders>
    </w:tblPr>
    <w:tblStylePr w:type="firstRow">
      <w:rPr>
        <w:b/>
        <w:bCs/>
      </w:rPr>
      <w:tblPr/>
      <w:tcPr>
        <w:tcBorders>
          <w:top w:val="nil"/>
          <w:bottom w:val="single" w:sz="12" w:space="0" w:color="FF4040"/>
          <w:insideH w:val="nil"/>
          <w:insideV w:val="nil"/>
        </w:tcBorders>
        <w:shd w:val="clear" w:color="auto" w:fill="0072BC"/>
      </w:tcPr>
    </w:tblStylePr>
    <w:tblStylePr w:type="lastRow">
      <w:rPr>
        <w:b/>
        <w:bCs/>
      </w:rPr>
      <w:tblPr/>
      <w:tcPr>
        <w:tcBorders>
          <w:top w:val="double" w:sz="2" w:space="0" w:color="FF4040"/>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KlavuzTablo2-Vurgu31">
    <w:name w:val="Kılavuz Tablo 2 - Vurgu 31"/>
    <w:basedOn w:val="NormalTablo"/>
    <w:uiPriority w:val="47"/>
    <w:semiHidden/>
    <w:rsid w:val="007D6614"/>
    <w:pPr>
      <w:spacing w:after="0" w:line="240" w:lineRule="auto"/>
    </w:pPr>
    <w:rPr>
      <w:lang w:val="en-US"/>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0072BC"/>
      </w:tcPr>
    </w:tblStylePr>
    <w:tblStylePr w:type="lastRow">
      <w:rPr>
        <w:b/>
        <w:bCs/>
      </w:rPr>
      <w:tblPr/>
      <w:tcPr>
        <w:tcBorders>
          <w:top w:val="double" w:sz="2" w:space="0" w:color="9F9F9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KlavuzTablo2-Vurgu41">
    <w:name w:val="Kılavuz Tablo 2 - Vurgu 41"/>
    <w:basedOn w:val="NormalTablo"/>
    <w:uiPriority w:val="47"/>
    <w:semiHidden/>
    <w:rsid w:val="007D6614"/>
    <w:pPr>
      <w:spacing w:after="0" w:line="240" w:lineRule="auto"/>
    </w:pPr>
    <w:rPr>
      <w:lang w:val="en-US"/>
    </w:rPr>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0072BC"/>
      </w:tcPr>
    </w:tblStylePr>
    <w:tblStylePr w:type="lastRow">
      <w:rPr>
        <w:b/>
        <w:bCs/>
      </w:rPr>
      <w:tblPr/>
      <w:tcPr>
        <w:tcBorders>
          <w:top w:val="double" w:sz="2" w:space="0" w:color="C0C0C0"/>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KlavuzTablo2-Vurgu51">
    <w:name w:val="Kılavuz Tablo 2 - Vurgu 51"/>
    <w:basedOn w:val="NormalTablo"/>
    <w:uiPriority w:val="47"/>
    <w:semiHidden/>
    <w:rsid w:val="007D6614"/>
    <w:pPr>
      <w:spacing w:after="0" w:line="240" w:lineRule="auto"/>
    </w:pPr>
    <w:rPr>
      <w:lang w:val="en-US"/>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0072BC"/>
      </w:tcPr>
    </w:tblStylePr>
    <w:tblStylePr w:type="lastRow">
      <w:rPr>
        <w:b/>
        <w:bCs/>
      </w:rPr>
      <w:tblPr/>
      <w:tcPr>
        <w:tcBorders>
          <w:top w:val="double" w:sz="2" w:space="0" w:color="9F9F9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KlavuzTablo2-Vurgu61">
    <w:name w:val="Kılavuz Tablo 2 - Vurgu 61"/>
    <w:basedOn w:val="NormalTablo"/>
    <w:uiPriority w:val="47"/>
    <w:semiHidden/>
    <w:rsid w:val="007D6614"/>
    <w:pPr>
      <w:spacing w:after="0" w:line="240" w:lineRule="auto"/>
    </w:pPr>
    <w:rPr>
      <w:lang w:val="en-US"/>
    </w:rPr>
    <w:tblPr>
      <w:tblStyleRowBandSize w:val="1"/>
      <w:tblStyleColBandSize w:val="1"/>
      <w:tblBorders>
        <w:top w:val="single" w:sz="2" w:space="0" w:color="949494"/>
        <w:bottom w:val="single" w:sz="2" w:space="0" w:color="949494"/>
        <w:insideH w:val="single" w:sz="2" w:space="0" w:color="949494"/>
        <w:insideV w:val="single" w:sz="2" w:space="0" w:color="949494"/>
      </w:tblBorders>
    </w:tblPr>
    <w:tblStylePr w:type="firstRow">
      <w:rPr>
        <w:b/>
        <w:bCs/>
      </w:rPr>
      <w:tblPr/>
      <w:tcPr>
        <w:tcBorders>
          <w:top w:val="nil"/>
          <w:bottom w:val="single" w:sz="12" w:space="0" w:color="949494"/>
          <w:insideH w:val="nil"/>
          <w:insideV w:val="nil"/>
        </w:tcBorders>
        <w:shd w:val="clear" w:color="auto" w:fill="0072BC"/>
      </w:tcPr>
    </w:tblStylePr>
    <w:tblStylePr w:type="lastRow">
      <w:rPr>
        <w:b/>
        <w:bCs/>
      </w:rPr>
      <w:tblPr/>
      <w:tcPr>
        <w:tcBorders>
          <w:top w:val="double" w:sz="2" w:space="0" w:color="949494"/>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KlavuzTablo31">
    <w:name w:val="Kılavuz Tablo 31"/>
    <w:basedOn w:val="NormalTablo"/>
    <w:uiPriority w:val="48"/>
    <w:semiHidden/>
    <w:rsid w:val="007D6614"/>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3-Vurgu11">
    <w:name w:val="Kılavuz Tablo 3 - Vurgu 11"/>
    <w:basedOn w:val="NormalTablo"/>
    <w:uiPriority w:val="48"/>
    <w:semiHidden/>
    <w:rsid w:val="007D6614"/>
    <w:pPr>
      <w:spacing w:after="0" w:line="240" w:lineRule="auto"/>
    </w:pPr>
    <w:rPr>
      <w:lang w:val="en-US"/>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bottom w:val="single" w:sz="4" w:space="0" w:color="3DB2FF"/>
        </w:tcBorders>
      </w:tcPr>
    </w:tblStylePr>
    <w:tblStylePr w:type="nwCell">
      <w:tblPr/>
      <w:tcPr>
        <w:tcBorders>
          <w:bottom w:val="single" w:sz="4" w:space="0" w:color="3DB2FF"/>
        </w:tcBorders>
      </w:tcPr>
    </w:tblStylePr>
    <w:tblStylePr w:type="seCell">
      <w:tblPr/>
      <w:tcPr>
        <w:tcBorders>
          <w:top w:val="single" w:sz="4" w:space="0" w:color="3DB2FF"/>
        </w:tcBorders>
      </w:tcPr>
    </w:tblStylePr>
    <w:tblStylePr w:type="swCell">
      <w:tblPr/>
      <w:tcPr>
        <w:tcBorders>
          <w:top w:val="single" w:sz="4" w:space="0" w:color="3DB2FF"/>
        </w:tcBorders>
      </w:tcPr>
    </w:tblStylePr>
  </w:style>
  <w:style w:type="table" w:customStyle="1" w:styleId="KlavuzTablo3-Vurgu21">
    <w:name w:val="Kılavuz Tablo 3 - Vurgu 21"/>
    <w:basedOn w:val="NormalTablo"/>
    <w:uiPriority w:val="48"/>
    <w:semiHidden/>
    <w:rsid w:val="007D6614"/>
    <w:pPr>
      <w:spacing w:after="0" w:line="240" w:lineRule="auto"/>
    </w:pPr>
    <w:rPr>
      <w:lang w:val="en-US"/>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bottom w:val="single" w:sz="4" w:space="0" w:color="FF4040"/>
        </w:tcBorders>
      </w:tcPr>
    </w:tblStylePr>
    <w:tblStylePr w:type="nwCell">
      <w:tblPr/>
      <w:tcPr>
        <w:tcBorders>
          <w:bottom w:val="single" w:sz="4" w:space="0" w:color="FF4040"/>
        </w:tcBorders>
      </w:tcPr>
    </w:tblStylePr>
    <w:tblStylePr w:type="seCell">
      <w:tblPr/>
      <w:tcPr>
        <w:tcBorders>
          <w:top w:val="single" w:sz="4" w:space="0" w:color="FF4040"/>
        </w:tcBorders>
      </w:tcPr>
    </w:tblStylePr>
    <w:tblStylePr w:type="swCell">
      <w:tblPr/>
      <w:tcPr>
        <w:tcBorders>
          <w:top w:val="single" w:sz="4" w:space="0" w:color="FF4040"/>
        </w:tcBorders>
      </w:tcPr>
    </w:tblStylePr>
  </w:style>
  <w:style w:type="table" w:customStyle="1" w:styleId="KlavuzTablo3-Vurgu31">
    <w:name w:val="Kılavuz Tablo 3 - Vurgu 31"/>
    <w:basedOn w:val="NormalTablo"/>
    <w:uiPriority w:val="48"/>
    <w:semiHidden/>
    <w:rsid w:val="007D6614"/>
    <w:pPr>
      <w:spacing w:after="0" w:line="240" w:lineRule="auto"/>
    </w:pPr>
    <w:rPr>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customStyle="1" w:styleId="KlavuzTablo3-Vurgu41">
    <w:name w:val="Kılavuz Tablo 3 - Vurgu 41"/>
    <w:basedOn w:val="NormalTablo"/>
    <w:uiPriority w:val="48"/>
    <w:semiHidden/>
    <w:rsid w:val="007D6614"/>
    <w:pPr>
      <w:spacing w:after="0" w:line="240" w:lineRule="auto"/>
    </w:pPr>
    <w:rPr>
      <w:lang w:val="en-US"/>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bottom w:val="single" w:sz="4" w:space="0" w:color="C0C0C0"/>
        </w:tcBorders>
      </w:tcPr>
    </w:tblStylePr>
    <w:tblStylePr w:type="nwCell">
      <w:tblPr/>
      <w:tcPr>
        <w:tcBorders>
          <w:bottom w:val="single" w:sz="4" w:space="0" w:color="C0C0C0"/>
        </w:tcBorders>
      </w:tcPr>
    </w:tblStylePr>
    <w:tblStylePr w:type="seCell">
      <w:tblPr/>
      <w:tcPr>
        <w:tcBorders>
          <w:top w:val="single" w:sz="4" w:space="0" w:color="C0C0C0"/>
        </w:tcBorders>
      </w:tcPr>
    </w:tblStylePr>
    <w:tblStylePr w:type="swCell">
      <w:tblPr/>
      <w:tcPr>
        <w:tcBorders>
          <w:top w:val="single" w:sz="4" w:space="0" w:color="C0C0C0"/>
        </w:tcBorders>
      </w:tcPr>
    </w:tblStylePr>
  </w:style>
  <w:style w:type="table" w:customStyle="1" w:styleId="KlavuzTablo3-Vurgu51">
    <w:name w:val="Kılavuz Tablo 3 - Vurgu 51"/>
    <w:basedOn w:val="NormalTablo"/>
    <w:uiPriority w:val="48"/>
    <w:semiHidden/>
    <w:rsid w:val="007D6614"/>
    <w:pPr>
      <w:spacing w:after="0" w:line="240" w:lineRule="auto"/>
    </w:pPr>
    <w:rPr>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customStyle="1" w:styleId="KlavuzTablo3-Vurgu61">
    <w:name w:val="Kılavuz Tablo 3 - Vurgu 61"/>
    <w:basedOn w:val="NormalTablo"/>
    <w:uiPriority w:val="48"/>
    <w:semiHidden/>
    <w:rsid w:val="007D6614"/>
    <w:pPr>
      <w:spacing w:after="0" w:line="240" w:lineRule="auto"/>
    </w:pPr>
    <w:rPr>
      <w:lang w:val="en-US"/>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bottom w:val="single" w:sz="4" w:space="0" w:color="949494"/>
        </w:tcBorders>
      </w:tcPr>
    </w:tblStylePr>
    <w:tblStylePr w:type="nwCell">
      <w:tblPr/>
      <w:tcPr>
        <w:tcBorders>
          <w:bottom w:val="single" w:sz="4" w:space="0" w:color="949494"/>
        </w:tcBorders>
      </w:tcPr>
    </w:tblStylePr>
    <w:tblStylePr w:type="seCell">
      <w:tblPr/>
      <w:tcPr>
        <w:tcBorders>
          <w:top w:val="single" w:sz="4" w:space="0" w:color="949494"/>
        </w:tcBorders>
      </w:tcPr>
    </w:tblStylePr>
    <w:tblStylePr w:type="swCell">
      <w:tblPr/>
      <w:tcPr>
        <w:tcBorders>
          <w:top w:val="single" w:sz="4" w:space="0" w:color="949494"/>
        </w:tcBorders>
      </w:tcPr>
    </w:tblStylePr>
  </w:style>
  <w:style w:type="table" w:customStyle="1" w:styleId="KlavuzuTablo41">
    <w:name w:val="Kılavuzu Tablo 41"/>
    <w:basedOn w:val="NormalTablo"/>
    <w:uiPriority w:val="49"/>
    <w:semiHidden/>
    <w:rsid w:val="007D6614"/>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0072BC"/>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uTablo4-Vurgu11">
    <w:name w:val="Kılavuzu Tablo 4 - Vurgu 11"/>
    <w:basedOn w:val="NormalTablo"/>
    <w:uiPriority w:val="49"/>
    <w:semiHidden/>
    <w:rsid w:val="007D6614"/>
    <w:pPr>
      <w:spacing w:after="0" w:line="240" w:lineRule="auto"/>
    </w:pPr>
    <w:rPr>
      <w:lang w:val="en-US"/>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color w:val="0072BC"/>
      </w:rPr>
      <w:tblPr/>
      <w:tcPr>
        <w:tcBorders>
          <w:top w:val="single" w:sz="4" w:space="0" w:color="0072BC"/>
          <w:left w:val="single" w:sz="4" w:space="0" w:color="0072BC"/>
          <w:bottom w:val="single" w:sz="4" w:space="0" w:color="0072BC"/>
          <w:right w:val="single" w:sz="4" w:space="0" w:color="0072BC"/>
          <w:insideH w:val="nil"/>
          <w:insideV w:val="nil"/>
        </w:tcBorders>
        <w:shd w:val="clear" w:color="auto" w:fill="0072BC"/>
      </w:tcPr>
    </w:tblStylePr>
    <w:tblStylePr w:type="lastRow">
      <w:rPr>
        <w:b/>
        <w:bCs/>
      </w:rPr>
      <w:tblPr/>
      <w:tcPr>
        <w:tcBorders>
          <w:top w:val="double" w:sz="4" w:space="0" w:color="0072BC"/>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KlavuzuTablo4-Vurgu21">
    <w:name w:val="Kılavuzu Tablo 4 - Vurgu 21"/>
    <w:basedOn w:val="NormalTablo"/>
    <w:uiPriority w:val="49"/>
    <w:semiHidden/>
    <w:rsid w:val="007D6614"/>
    <w:pPr>
      <w:spacing w:after="0" w:line="240" w:lineRule="auto"/>
    </w:pPr>
    <w:rPr>
      <w:lang w:val="en-US"/>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color w:val="0072BC"/>
      </w:rPr>
      <w:tblPr/>
      <w:tcPr>
        <w:tcBorders>
          <w:top w:val="single" w:sz="4" w:space="0" w:color="C00000"/>
          <w:left w:val="single" w:sz="4" w:space="0" w:color="C00000"/>
          <w:bottom w:val="single" w:sz="4" w:space="0" w:color="C00000"/>
          <w:right w:val="single" w:sz="4" w:space="0" w:color="C00000"/>
          <w:insideH w:val="nil"/>
          <w:insideV w:val="nil"/>
        </w:tcBorders>
        <w:shd w:val="clear" w:color="auto" w:fill="C00000"/>
      </w:tcPr>
    </w:tblStylePr>
    <w:tblStylePr w:type="lastRow">
      <w:rPr>
        <w:b/>
        <w:bCs/>
      </w:rPr>
      <w:tblPr/>
      <w:tcPr>
        <w:tcBorders>
          <w:top w:val="double" w:sz="4" w:space="0" w:color="C0000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KlavuzuTablo4-Vurgu31">
    <w:name w:val="Kılavuzu Tablo 4 - Vurgu 31"/>
    <w:basedOn w:val="NormalTablo"/>
    <w:uiPriority w:val="49"/>
    <w:semiHidden/>
    <w:rsid w:val="007D6614"/>
    <w:pPr>
      <w:spacing w:after="0" w:line="240" w:lineRule="auto"/>
    </w:pPr>
    <w:rPr>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KlavuzuTablo4-Vurgu41">
    <w:name w:val="Kılavuzu Tablo 4 - Vurgu 41"/>
    <w:basedOn w:val="NormalTablo"/>
    <w:uiPriority w:val="49"/>
    <w:semiHidden/>
    <w:rsid w:val="007D6614"/>
    <w:pPr>
      <w:spacing w:after="0" w:line="240" w:lineRule="auto"/>
    </w:pPr>
    <w:rPr>
      <w:lang w:val="en-US"/>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color w:val="0072BC"/>
      </w:rPr>
      <w:tblPr/>
      <w:tcPr>
        <w:tcBorders>
          <w:top w:val="single" w:sz="4" w:space="0" w:color="969696"/>
          <w:left w:val="single" w:sz="4" w:space="0" w:color="969696"/>
          <w:bottom w:val="single" w:sz="4" w:space="0" w:color="969696"/>
          <w:right w:val="single" w:sz="4" w:space="0" w:color="969696"/>
          <w:insideH w:val="nil"/>
          <w:insideV w:val="nil"/>
        </w:tcBorders>
        <w:shd w:val="clear" w:color="auto" w:fill="969696"/>
      </w:tcPr>
    </w:tblStylePr>
    <w:tblStylePr w:type="lastRow">
      <w:rPr>
        <w:b/>
        <w:bCs/>
      </w:rPr>
      <w:tblPr/>
      <w:tcPr>
        <w:tcBorders>
          <w:top w:val="double" w:sz="4" w:space="0" w:color="969696"/>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KlavuzuTablo4-Vurgu51">
    <w:name w:val="Kılavuzu Tablo 4 - Vurgu 51"/>
    <w:basedOn w:val="NormalTablo"/>
    <w:uiPriority w:val="49"/>
    <w:semiHidden/>
    <w:rsid w:val="007D6614"/>
    <w:pPr>
      <w:spacing w:after="0" w:line="240" w:lineRule="auto"/>
    </w:pPr>
    <w:rPr>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KlavuzuTablo4-Vurgu61">
    <w:name w:val="Kılavuzu Tablo 4 - Vurgu 61"/>
    <w:basedOn w:val="NormalTablo"/>
    <w:uiPriority w:val="49"/>
    <w:semiHidden/>
    <w:rsid w:val="007D6614"/>
    <w:pPr>
      <w:spacing w:after="0" w:line="240" w:lineRule="auto"/>
    </w:pPr>
    <w:rPr>
      <w:lang w:val="en-US"/>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0072BC"/>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KlavuzTablo5Koyu1">
    <w:name w:val="Kılavuz Tablo 5 Koyu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CCCCCC"/>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000000"/>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000000"/>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000000"/>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KlavuzTablo5Koyu-Vurgu11">
    <w:name w:val="Kılavuz Tablo 5 Koyu - Vurgu 1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BEE5F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0072BC"/>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0072BC"/>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0072BC"/>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0072BC"/>
      </w:tcPr>
    </w:tblStylePr>
    <w:tblStylePr w:type="band1Vert">
      <w:tblPr/>
      <w:tcPr>
        <w:shd w:val="clear" w:color="auto" w:fill="7ECBFF"/>
      </w:tcPr>
    </w:tblStylePr>
    <w:tblStylePr w:type="band1Horz">
      <w:tblPr/>
      <w:tcPr>
        <w:shd w:val="clear" w:color="auto" w:fill="7ECBFF"/>
      </w:tcPr>
    </w:tblStylePr>
  </w:style>
  <w:style w:type="table" w:customStyle="1" w:styleId="KlavuzTablo5Koyu-Vurgu21">
    <w:name w:val="Kılavuz Tablo 5 Koyu - Vurgu 2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FFBFB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C00000"/>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C00000"/>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C00000"/>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C00000"/>
      </w:tcPr>
    </w:tblStylePr>
    <w:tblStylePr w:type="band1Vert">
      <w:tblPr/>
      <w:tcPr>
        <w:shd w:val="clear" w:color="auto" w:fill="FF7F7F"/>
      </w:tcPr>
    </w:tblStylePr>
    <w:tblStylePr w:type="band1Horz">
      <w:tblPr/>
      <w:tcPr>
        <w:shd w:val="clear" w:color="auto" w:fill="FF7F7F"/>
      </w:tcPr>
    </w:tblStylePr>
  </w:style>
  <w:style w:type="table" w:customStyle="1" w:styleId="KlavuzTablo5Koyu-Vurgu31">
    <w:name w:val="Kılavuz Tablo 5 Koyu - Vurgu 3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DFD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KlavuzTablo5Koyu-Vurgu41">
    <w:name w:val="Kılavuz Tablo 5 Koyu - Vurgu 4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EAEAEA"/>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969696"/>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969696"/>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969696"/>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969696"/>
      </w:tcPr>
    </w:tblStylePr>
    <w:tblStylePr w:type="band1Vert">
      <w:tblPr/>
      <w:tcPr>
        <w:shd w:val="clear" w:color="auto" w:fill="D5D5D5"/>
      </w:tcPr>
    </w:tblStylePr>
    <w:tblStylePr w:type="band1Horz">
      <w:tblPr/>
      <w:tcPr>
        <w:shd w:val="clear" w:color="auto" w:fill="D5D5D5"/>
      </w:tcPr>
    </w:tblStylePr>
  </w:style>
  <w:style w:type="table" w:customStyle="1" w:styleId="KlavuzTablo5Koyu-Vurgu51">
    <w:name w:val="Kılavuz Tablo 5 Koyu - Vurgu 5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DFD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KlavuzTablo5Koyu-Vurgu61">
    <w:name w:val="Kılavuz Tablo 5 Koyu - Vurgu 61"/>
    <w:basedOn w:val="NormalTablo"/>
    <w:uiPriority w:val="50"/>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BDBDB"/>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4D4D4D"/>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4D4D4D"/>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4D4D4D"/>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4D4D4D"/>
      </w:tcPr>
    </w:tblStylePr>
    <w:tblStylePr w:type="band1Vert">
      <w:tblPr/>
      <w:tcPr>
        <w:shd w:val="clear" w:color="auto" w:fill="B7B7B7"/>
      </w:tcPr>
    </w:tblStylePr>
    <w:tblStylePr w:type="band1Horz">
      <w:tblPr/>
      <w:tcPr>
        <w:shd w:val="clear" w:color="auto" w:fill="B7B7B7"/>
      </w:tcPr>
    </w:tblStylePr>
  </w:style>
  <w:style w:type="table" w:customStyle="1" w:styleId="KlavuzTablo6Renkli1">
    <w:name w:val="Kılavuz Tablo 6 Renkli1"/>
    <w:basedOn w:val="NormalTablo"/>
    <w:uiPriority w:val="51"/>
    <w:semiHidden/>
    <w:rsid w:val="007D6614"/>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6Renkli-Vurgu11">
    <w:name w:val="Kılavuz Tablo 6 Renkli - Vurgu 11"/>
    <w:basedOn w:val="NormalTablo"/>
    <w:uiPriority w:val="51"/>
    <w:semiHidden/>
    <w:rsid w:val="007D6614"/>
    <w:pPr>
      <w:spacing w:after="0" w:line="240" w:lineRule="auto"/>
    </w:pPr>
    <w:rPr>
      <w:color w:val="00548C"/>
      <w:lang w:val="en-US"/>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bottom w:val="single" w:sz="12" w:space="0" w:color="3DB2FF"/>
        </w:tcBorders>
      </w:tcPr>
    </w:tblStylePr>
    <w:tblStylePr w:type="lastRow">
      <w:rPr>
        <w:b/>
        <w:bCs/>
      </w:rPr>
      <w:tblPr/>
      <w:tcPr>
        <w:tcBorders>
          <w:top w:val="doub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KlavuzTablo6-Renkli-Vurgu21">
    <w:name w:val="Kılavuz Tablo 6 - Renkli - Vurgu 21"/>
    <w:basedOn w:val="NormalTablo"/>
    <w:uiPriority w:val="51"/>
    <w:semiHidden/>
    <w:rsid w:val="007D6614"/>
    <w:pPr>
      <w:spacing w:after="0" w:line="240" w:lineRule="auto"/>
    </w:pPr>
    <w:rPr>
      <w:color w:val="8F0000"/>
      <w:lang w:val="en-US"/>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bottom w:val="single" w:sz="12" w:space="0" w:color="FF4040"/>
        </w:tcBorders>
      </w:tcPr>
    </w:tblStylePr>
    <w:tblStylePr w:type="lastRow">
      <w:rPr>
        <w:b/>
        <w:bCs/>
      </w:rPr>
      <w:tblPr/>
      <w:tcPr>
        <w:tcBorders>
          <w:top w:val="doub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KlavuzTablo6-Renkli-Vurgu31">
    <w:name w:val="Kılavuz Tablo 6 - Renkli - Vurgu 31"/>
    <w:basedOn w:val="NormalTablo"/>
    <w:uiPriority w:val="51"/>
    <w:semiHidden/>
    <w:rsid w:val="007D6614"/>
    <w:pPr>
      <w:spacing w:after="0" w:line="240" w:lineRule="auto"/>
    </w:pPr>
    <w:rPr>
      <w:color w:val="474747"/>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KlavuzTablo6-Renkli-Vurgu41">
    <w:name w:val="Kılavuz Tablo 6 - Renkli - Vurgu 41"/>
    <w:basedOn w:val="NormalTablo"/>
    <w:uiPriority w:val="51"/>
    <w:semiHidden/>
    <w:rsid w:val="007D6614"/>
    <w:pPr>
      <w:spacing w:after="0" w:line="240" w:lineRule="auto"/>
    </w:pPr>
    <w:rPr>
      <w:color w:val="707070"/>
      <w:lang w:val="en-US"/>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bottom w:val="single" w:sz="12" w:space="0" w:color="C0C0C0"/>
        </w:tcBorders>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KlavuzTablo6-Renkli-Vurgu51">
    <w:name w:val="Kılavuz Tablo 6 - Renkli - Vurgu 51"/>
    <w:basedOn w:val="NormalTablo"/>
    <w:uiPriority w:val="51"/>
    <w:semiHidden/>
    <w:rsid w:val="007D6614"/>
    <w:pPr>
      <w:spacing w:after="0" w:line="240" w:lineRule="auto"/>
    </w:pPr>
    <w:rPr>
      <w:color w:val="474747"/>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KlavuzTablo6Renkli-Vurgu61">
    <w:name w:val="Kılavuz Tablo 6 Renkli - Vurgu 61"/>
    <w:basedOn w:val="NormalTablo"/>
    <w:uiPriority w:val="51"/>
    <w:semiHidden/>
    <w:rsid w:val="007D6614"/>
    <w:pPr>
      <w:spacing w:after="0" w:line="240" w:lineRule="auto"/>
    </w:pPr>
    <w:rPr>
      <w:color w:val="393939"/>
      <w:lang w:val="en-US"/>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bottom w:val="single" w:sz="12" w:space="0" w:color="949494"/>
        </w:tcBorders>
      </w:tcPr>
    </w:tblStylePr>
    <w:tblStylePr w:type="lastRow">
      <w:rPr>
        <w:b/>
        <w:bCs/>
      </w:rPr>
      <w:tblPr/>
      <w:tcPr>
        <w:tcBorders>
          <w:top w:val="doub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KlavuzTablo7Renkli1">
    <w:name w:val="Kılavuz Tablo 7 Renkli1"/>
    <w:basedOn w:val="NormalTablo"/>
    <w:uiPriority w:val="52"/>
    <w:semiHidden/>
    <w:rsid w:val="007D6614"/>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7Renkli-Vurgu11">
    <w:name w:val="Kılavuz Tablo 7 Renkli - Vurgu 11"/>
    <w:basedOn w:val="NormalTablo"/>
    <w:uiPriority w:val="52"/>
    <w:semiHidden/>
    <w:rsid w:val="007D6614"/>
    <w:pPr>
      <w:spacing w:after="0" w:line="240" w:lineRule="auto"/>
    </w:pPr>
    <w:rPr>
      <w:color w:val="00548C"/>
      <w:lang w:val="en-US"/>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bottom w:val="single" w:sz="4" w:space="0" w:color="3DB2FF"/>
        </w:tcBorders>
      </w:tcPr>
    </w:tblStylePr>
    <w:tblStylePr w:type="nwCell">
      <w:tblPr/>
      <w:tcPr>
        <w:tcBorders>
          <w:bottom w:val="single" w:sz="4" w:space="0" w:color="3DB2FF"/>
        </w:tcBorders>
      </w:tcPr>
    </w:tblStylePr>
    <w:tblStylePr w:type="seCell">
      <w:tblPr/>
      <w:tcPr>
        <w:tcBorders>
          <w:top w:val="single" w:sz="4" w:space="0" w:color="3DB2FF"/>
        </w:tcBorders>
      </w:tcPr>
    </w:tblStylePr>
    <w:tblStylePr w:type="swCell">
      <w:tblPr/>
      <w:tcPr>
        <w:tcBorders>
          <w:top w:val="single" w:sz="4" w:space="0" w:color="3DB2FF"/>
        </w:tcBorders>
      </w:tcPr>
    </w:tblStylePr>
  </w:style>
  <w:style w:type="table" w:customStyle="1" w:styleId="KlavuzTablo7Renkli-Vurgu21">
    <w:name w:val="Kılavuz Tablo 7 Renkli - Vurgu 21"/>
    <w:basedOn w:val="NormalTablo"/>
    <w:uiPriority w:val="52"/>
    <w:semiHidden/>
    <w:rsid w:val="007D6614"/>
    <w:pPr>
      <w:spacing w:after="0" w:line="240" w:lineRule="auto"/>
    </w:pPr>
    <w:rPr>
      <w:color w:val="8F0000"/>
      <w:lang w:val="en-US"/>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bottom w:val="single" w:sz="4" w:space="0" w:color="FF4040"/>
        </w:tcBorders>
      </w:tcPr>
    </w:tblStylePr>
    <w:tblStylePr w:type="nwCell">
      <w:tblPr/>
      <w:tcPr>
        <w:tcBorders>
          <w:bottom w:val="single" w:sz="4" w:space="0" w:color="FF4040"/>
        </w:tcBorders>
      </w:tcPr>
    </w:tblStylePr>
    <w:tblStylePr w:type="seCell">
      <w:tblPr/>
      <w:tcPr>
        <w:tcBorders>
          <w:top w:val="single" w:sz="4" w:space="0" w:color="FF4040"/>
        </w:tcBorders>
      </w:tcPr>
    </w:tblStylePr>
    <w:tblStylePr w:type="swCell">
      <w:tblPr/>
      <w:tcPr>
        <w:tcBorders>
          <w:top w:val="single" w:sz="4" w:space="0" w:color="FF4040"/>
        </w:tcBorders>
      </w:tcPr>
    </w:tblStylePr>
  </w:style>
  <w:style w:type="table" w:customStyle="1" w:styleId="KlavuzTablo7Renkli-Vurgu31">
    <w:name w:val="Kılavuz Tablo 7 Renkli - Vurgu 31"/>
    <w:basedOn w:val="NormalTablo"/>
    <w:uiPriority w:val="52"/>
    <w:semiHidden/>
    <w:rsid w:val="007D6614"/>
    <w:pPr>
      <w:spacing w:after="0" w:line="240" w:lineRule="auto"/>
    </w:pPr>
    <w:rPr>
      <w:color w:val="474747"/>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customStyle="1" w:styleId="KlavuzTablo7Renkli-Vurgu41">
    <w:name w:val="Kılavuz Tablo 7 Renkli - Vurgu 41"/>
    <w:basedOn w:val="NormalTablo"/>
    <w:uiPriority w:val="52"/>
    <w:semiHidden/>
    <w:rsid w:val="007D6614"/>
    <w:pPr>
      <w:spacing w:after="0" w:line="240" w:lineRule="auto"/>
    </w:pPr>
    <w:rPr>
      <w:color w:val="707070"/>
      <w:lang w:val="en-US"/>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bottom w:val="single" w:sz="4" w:space="0" w:color="C0C0C0"/>
        </w:tcBorders>
      </w:tcPr>
    </w:tblStylePr>
    <w:tblStylePr w:type="nwCell">
      <w:tblPr/>
      <w:tcPr>
        <w:tcBorders>
          <w:bottom w:val="single" w:sz="4" w:space="0" w:color="C0C0C0"/>
        </w:tcBorders>
      </w:tcPr>
    </w:tblStylePr>
    <w:tblStylePr w:type="seCell">
      <w:tblPr/>
      <w:tcPr>
        <w:tcBorders>
          <w:top w:val="single" w:sz="4" w:space="0" w:color="C0C0C0"/>
        </w:tcBorders>
      </w:tcPr>
    </w:tblStylePr>
    <w:tblStylePr w:type="swCell">
      <w:tblPr/>
      <w:tcPr>
        <w:tcBorders>
          <w:top w:val="single" w:sz="4" w:space="0" w:color="C0C0C0"/>
        </w:tcBorders>
      </w:tcPr>
    </w:tblStylePr>
  </w:style>
  <w:style w:type="table" w:customStyle="1" w:styleId="KlavuzTablo7Renkli-Vurgu51">
    <w:name w:val="Kılavuz Tablo 7 Renkli - Vurgu 51"/>
    <w:basedOn w:val="NormalTablo"/>
    <w:uiPriority w:val="52"/>
    <w:semiHidden/>
    <w:rsid w:val="007D6614"/>
    <w:pPr>
      <w:spacing w:after="0" w:line="240" w:lineRule="auto"/>
    </w:pPr>
    <w:rPr>
      <w:color w:val="474747"/>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customStyle="1" w:styleId="KlavuzTablo7Renkli-Vurgu61">
    <w:name w:val="Kılavuz Tablo 7 Renkli - Vurgu 61"/>
    <w:basedOn w:val="NormalTablo"/>
    <w:uiPriority w:val="52"/>
    <w:semiHidden/>
    <w:rsid w:val="007D6614"/>
    <w:pPr>
      <w:spacing w:after="0" w:line="240" w:lineRule="auto"/>
    </w:pPr>
    <w:rPr>
      <w:color w:val="393939"/>
      <w:lang w:val="en-US"/>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bottom w:val="single" w:sz="4" w:space="0" w:color="949494"/>
        </w:tcBorders>
      </w:tcPr>
    </w:tblStylePr>
    <w:tblStylePr w:type="nwCell">
      <w:tblPr/>
      <w:tcPr>
        <w:tcBorders>
          <w:bottom w:val="single" w:sz="4" w:space="0" w:color="949494"/>
        </w:tcBorders>
      </w:tcPr>
    </w:tblStylePr>
    <w:tblStylePr w:type="seCell">
      <w:tblPr/>
      <w:tcPr>
        <w:tcBorders>
          <w:top w:val="single" w:sz="4" w:space="0" w:color="949494"/>
        </w:tcBorders>
      </w:tcPr>
    </w:tblStylePr>
    <w:tblStylePr w:type="swCell">
      <w:tblPr/>
      <w:tcPr>
        <w:tcBorders>
          <w:top w:val="single" w:sz="4" w:space="0" w:color="949494"/>
        </w:tcBorders>
      </w:tcPr>
    </w:tblStylePr>
  </w:style>
  <w:style w:type="character" w:customStyle="1" w:styleId="Etiket1">
    <w:name w:val="Etiket1"/>
    <w:basedOn w:val="VarsaylanParagrafYazTipi"/>
    <w:uiPriority w:val="99"/>
    <w:semiHidden/>
    <w:unhideWhenUsed/>
    <w:rsid w:val="007D6614"/>
    <w:rPr>
      <w:color w:val="2B579A"/>
      <w:shd w:val="clear" w:color="auto" w:fill="E1DFDD"/>
    </w:rPr>
  </w:style>
  <w:style w:type="table" w:customStyle="1" w:styleId="ListeTablo1Ak1">
    <w:name w:val="Liste Tablo 1 Açık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11">
    <w:name w:val="Liste Tablo 1 Açık - Vurgu 1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3DB2FF"/>
        </w:tcBorders>
      </w:tcPr>
    </w:tblStylePr>
    <w:tblStylePr w:type="lastRow">
      <w:rPr>
        <w:b/>
        <w:bCs/>
      </w:rPr>
      <w:tblPr/>
      <w:tcPr>
        <w:tcBorders>
          <w:top w:val="sing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ListeTablo1Ak-Vurgu21">
    <w:name w:val="Liste Tablo 1 Açık - Vurgu 2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FF4040"/>
        </w:tcBorders>
      </w:tcPr>
    </w:tblStylePr>
    <w:tblStylePr w:type="lastRow">
      <w:rPr>
        <w:b/>
        <w:bCs/>
      </w:rPr>
      <w:tblPr/>
      <w:tcPr>
        <w:tcBorders>
          <w:top w:val="sing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ListeTablo1Ak-Vurgu31">
    <w:name w:val="Liste Tablo 1 Açık - Vurgu 3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9F9F9F"/>
        </w:tcBorders>
      </w:tcPr>
    </w:tblStylePr>
    <w:tblStylePr w:type="lastRow">
      <w:rPr>
        <w:b/>
        <w:bCs/>
      </w:rPr>
      <w:tblPr/>
      <w:tcPr>
        <w:tcBorders>
          <w:top w:val="sing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1Ak-Vurgu41">
    <w:name w:val="Liste Tablo 1 Açık - Vurgu 4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C0C0C0"/>
        </w:tcBorders>
      </w:tcPr>
    </w:tblStylePr>
    <w:tblStylePr w:type="lastRow">
      <w:rPr>
        <w:b/>
        <w:bCs/>
      </w:rPr>
      <w:tblPr/>
      <w:tcPr>
        <w:tcBorders>
          <w:top w:val="sing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ListeTablo1Ak-Vurgu51">
    <w:name w:val="Liste Tablo 1 Açık - Vurgu 5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9F9F9F"/>
        </w:tcBorders>
      </w:tcPr>
    </w:tblStylePr>
    <w:tblStylePr w:type="lastRow">
      <w:rPr>
        <w:b/>
        <w:bCs/>
      </w:rPr>
      <w:tblPr/>
      <w:tcPr>
        <w:tcBorders>
          <w:top w:val="sing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1Ak-Vurgu61">
    <w:name w:val="Liste Tablo 1 Açık - Vurgu 61"/>
    <w:basedOn w:val="NormalTablo"/>
    <w:uiPriority w:val="46"/>
    <w:semiHidden/>
    <w:rsid w:val="007D6614"/>
    <w:pPr>
      <w:spacing w:after="0" w:line="240" w:lineRule="auto"/>
    </w:pPr>
    <w:rPr>
      <w:lang w:val="en-US"/>
    </w:rPr>
    <w:tblPr>
      <w:tblStyleRowBandSize w:val="1"/>
      <w:tblStyleColBandSize w:val="1"/>
    </w:tblPr>
    <w:tblStylePr w:type="firstRow">
      <w:rPr>
        <w:b/>
        <w:bCs/>
      </w:rPr>
      <w:tblPr/>
      <w:tcPr>
        <w:tcBorders>
          <w:bottom w:val="single" w:sz="4" w:space="0" w:color="949494"/>
        </w:tcBorders>
      </w:tcPr>
    </w:tblStylePr>
    <w:tblStylePr w:type="lastRow">
      <w:rPr>
        <w:b/>
        <w:bCs/>
      </w:rPr>
      <w:tblPr/>
      <w:tcPr>
        <w:tcBorders>
          <w:top w:val="sing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ListeTablo21">
    <w:name w:val="Liste Tablo 21"/>
    <w:basedOn w:val="NormalTablo"/>
    <w:uiPriority w:val="47"/>
    <w:semiHidden/>
    <w:rsid w:val="007D6614"/>
    <w:pPr>
      <w:spacing w:after="0" w:line="240" w:lineRule="auto"/>
    </w:pPr>
    <w:rPr>
      <w:lang w:val="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Vurgu11">
    <w:name w:val="Liste Tablo 2 - Vurgu 11"/>
    <w:basedOn w:val="NormalTablo"/>
    <w:uiPriority w:val="47"/>
    <w:semiHidden/>
    <w:rsid w:val="007D6614"/>
    <w:pPr>
      <w:spacing w:after="0" w:line="240" w:lineRule="auto"/>
    </w:pPr>
    <w:rPr>
      <w:lang w:val="en-US"/>
    </w:rPr>
    <w:tblPr>
      <w:tblStyleRowBandSize w:val="1"/>
      <w:tblStyleColBandSize w:val="1"/>
      <w:tblBorders>
        <w:top w:val="single" w:sz="4" w:space="0" w:color="3DB2FF"/>
        <w:bottom w:val="single" w:sz="4" w:space="0" w:color="3DB2FF"/>
        <w:insideH w:val="single" w:sz="4" w:space="0" w:color="3DB2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ListeTablo2-Vurgu21">
    <w:name w:val="Liste Tablo 2 - Vurgu 21"/>
    <w:basedOn w:val="NormalTablo"/>
    <w:uiPriority w:val="47"/>
    <w:semiHidden/>
    <w:rsid w:val="007D6614"/>
    <w:pPr>
      <w:spacing w:after="0" w:line="240" w:lineRule="auto"/>
    </w:pPr>
    <w:rPr>
      <w:lang w:val="en-US"/>
    </w:rPr>
    <w:tblPr>
      <w:tblStyleRowBandSize w:val="1"/>
      <w:tblStyleColBandSize w:val="1"/>
      <w:tblBorders>
        <w:top w:val="single" w:sz="4" w:space="0" w:color="FF4040"/>
        <w:bottom w:val="single" w:sz="4" w:space="0" w:color="FF4040"/>
        <w:insideH w:val="single" w:sz="4" w:space="0" w:color="FF404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ListeTablo2-Vurgu31">
    <w:name w:val="Liste Tablo 2 - Vurgu 31"/>
    <w:basedOn w:val="NormalTablo"/>
    <w:uiPriority w:val="47"/>
    <w:semiHidden/>
    <w:rsid w:val="007D6614"/>
    <w:pPr>
      <w:spacing w:after="0" w:line="240" w:lineRule="auto"/>
    </w:pPr>
    <w:rPr>
      <w:lang w:val="en-US"/>
    </w:rPr>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2-Vurgu41">
    <w:name w:val="Liste Tablo 2 - Vurgu 41"/>
    <w:basedOn w:val="NormalTablo"/>
    <w:uiPriority w:val="47"/>
    <w:semiHidden/>
    <w:rsid w:val="007D6614"/>
    <w:pPr>
      <w:spacing w:after="0" w:line="240" w:lineRule="auto"/>
    </w:pPr>
    <w:rPr>
      <w:lang w:val="en-US"/>
    </w:rPr>
    <w:tblPr>
      <w:tblStyleRowBandSize w:val="1"/>
      <w:tblStyleColBandSize w:val="1"/>
      <w:tblBorders>
        <w:top w:val="single" w:sz="4" w:space="0" w:color="C0C0C0"/>
        <w:bottom w:val="single" w:sz="4" w:space="0" w:color="C0C0C0"/>
        <w:insideH w:val="single" w:sz="4" w:space="0" w:color="C0C0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ListeTablo2-Vurgu51">
    <w:name w:val="Liste Tablo 2 - Vurgu 51"/>
    <w:basedOn w:val="NormalTablo"/>
    <w:uiPriority w:val="47"/>
    <w:semiHidden/>
    <w:rsid w:val="007D6614"/>
    <w:pPr>
      <w:spacing w:after="0" w:line="240" w:lineRule="auto"/>
    </w:pPr>
    <w:rPr>
      <w:lang w:val="en-US"/>
    </w:rPr>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2-Vurgu61">
    <w:name w:val="Liste Tablo 2 - Vurgu 61"/>
    <w:basedOn w:val="NormalTablo"/>
    <w:uiPriority w:val="47"/>
    <w:semiHidden/>
    <w:rsid w:val="007D6614"/>
    <w:pPr>
      <w:spacing w:after="0" w:line="240" w:lineRule="auto"/>
    </w:pPr>
    <w:rPr>
      <w:lang w:val="en-US"/>
    </w:rPr>
    <w:tblPr>
      <w:tblStyleRowBandSize w:val="1"/>
      <w:tblStyleColBandSize w:val="1"/>
      <w:tblBorders>
        <w:top w:val="single" w:sz="4" w:space="0" w:color="949494"/>
        <w:bottom w:val="single" w:sz="4" w:space="0" w:color="949494"/>
        <w:insideH w:val="single" w:sz="4" w:space="0" w:color="9494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ListeTablo31">
    <w:name w:val="Liste Tablo 31"/>
    <w:basedOn w:val="NormalTablo"/>
    <w:uiPriority w:val="48"/>
    <w:semiHidden/>
    <w:rsid w:val="007D6614"/>
    <w:pPr>
      <w:spacing w:after="0" w:line="240" w:lineRule="auto"/>
    </w:pPr>
    <w:rPr>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0072BC"/>
      </w:rPr>
      <w:tblPr/>
      <w:tcPr>
        <w:shd w:val="clear" w:color="auto" w:fill="000000"/>
      </w:tcPr>
    </w:tblStylePr>
    <w:tblStylePr w:type="lastRow">
      <w:rPr>
        <w:b/>
        <w:bCs/>
      </w:rPr>
      <w:tblPr/>
      <w:tcPr>
        <w:tcBorders>
          <w:top w:val="double" w:sz="4" w:space="0" w:color="000000"/>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Tablo3-Vurgu11">
    <w:name w:val="Liste Tablo 3 - Vurgu 11"/>
    <w:basedOn w:val="NormalTablo"/>
    <w:uiPriority w:val="48"/>
    <w:semiHidden/>
    <w:rsid w:val="007D6614"/>
    <w:pPr>
      <w:spacing w:after="0" w:line="240" w:lineRule="auto"/>
    </w:pPr>
    <w:rPr>
      <w:lang w:val="en-US"/>
    </w:rPr>
    <w:tblPr>
      <w:tblStyleRowBandSize w:val="1"/>
      <w:tblStyleColBandSize w:val="1"/>
      <w:tblBorders>
        <w:top w:val="single" w:sz="4" w:space="0" w:color="0072BC"/>
        <w:left w:val="single" w:sz="4" w:space="0" w:color="0072BC"/>
        <w:bottom w:val="single" w:sz="4" w:space="0" w:color="0072BC"/>
        <w:right w:val="single" w:sz="4" w:space="0" w:color="0072BC"/>
      </w:tblBorders>
    </w:tblPr>
    <w:tblStylePr w:type="firstRow">
      <w:rPr>
        <w:b/>
        <w:bCs/>
        <w:color w:val="0072BC"/>
      </w:rPr>
      <w:tblPr/>
      <w:tcPr>
        <w:shd w:val="clear" w:color="auto" w:fill="0072BC"/>
      </w:tcPr>
    </w:tblStylePr>
    <w:tblStylePr w:type="lastRow">
      <w:rPr>
        <w:b/>
        <w:bCs/>
      </w:rPr>
      <w:tblPr/>
      <w:tcPr>
        <w:tcBorders>
          <w:top w:val="double" w:sz="4" w:space="0" w:color="0072BC"/>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left w:val="nil"/>
        </w:tcBorders>
      </w:tcPr>
    </w:tblStylePr>
    <w:tblStylePr w:type="swCell">
      <w:tblPr/>
      <w:tcPr>
        <w:tcBorders>
          <w:top w:val="double" w:sz="4" w:space="0" w:color="0072BC"/>
          <w:right w:val="nil"/>
        </w:tcBorders>
      </w:tcPr>
    </w:tblStylePr>
  </w:style>
  <w:style w:type="table" w:customStyle="1" w:styleId="ListeTablo3-Vurgu21">
    <w:name w:val="Liste Tablo 3 - Vurgu 21"/>
    <w:basedOn w:val="NormalTablo"/>
    <w:uiPriority w:val="48"/>
    <w:semiHidden/>
    <w:rsid w:val="007D6614"/>
    <w:pPr>
      <w:spacing w:after="0" w:line="240" w:lineRule="auto"/>
    </w:pPr>
    <w:rPr>
      <w:lang w:val="en-US"/>
    </w:rPr>
    <w:tblPr>
      <w:tblStyleRowBandSize w:val="1"/>
      <w:tblStyleColBandSize w:val="1"/>
      <w:tblBorders>
        <w:top w:val="single" w:sz="4" w:space="0" w:color="C00000"/>
        <w:left w:val="single" w:sz="4" w:space="0" w:color="C00000"/>
        <w:bottom w:val="single" w:sz="4" w:space="0" w:color="C00000"/>
        <w:right w:val="single" w:sz="4" w:space="0" w:color="C00000"/>
      </w:tblBorders>
    </w:tblPr>
    <w:tblStylePr w:type="firstRow">
      <w:rPr>
        <w:b/>
        <w:bCs/>
        <w:color w:val="0072BC"/>
      </w:rPr>
      <w:tblPr/>
      <w:tcPr>
        <w:shd w:val="clear" w:color="auto" w:fill="C00000"/>
      </w:tcPr>
    </w:tblStylePr>
    <w:tblStylePr w:type="lastRow">
      <w:rPr>
        <w:b/>
        <w:bCs/>
      </w:rPr>
      <w:tblPr/>
      <w:tcPr>
        <w:tcBorders>
          <w:top w:val="double" w:sz="4" w:space="0" w:color="C00000"/>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C00000"/>
          <w:right w:val="single" w:sz="4" w:space="0" w:color="C00000"/>
        </w:tcBorders>
      </w:tcPr>
    </w:tblStylePr>
    <w:tblStylePr w:type="band1Horz">
      <w:tblPr/>
      <w:tcPr>
        <w:tcBorders>
          <w:top w:val="single" w:sz="4" w:space="0" w:color="C00000"/>
          <w:bottom w:val="single" w:sz="4" w:space="0" w:color="C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left w:val="nil"/>
        </w:tcBorders>
      </w:tcPr>
    </w:tblStylePr>
    <w:tblStylePr w:type="swCell">
      <w:tblPr/>
      <w:tcPr>
        <w:tcBorders>
          <w:top w:val="double" w:sz="4" w:space="0" w:color="C00000"/>
          <w:right w:val="nil"/>
        </w:tcBorders>
      </w:tcPr>
    </w:tblStylePr>
  </w:style>
  <w:style w:type="table" w:customStyle="1" w:styleId="ListeTablo3-Vurgu31">
    <w:name w:val="Liste Tablo 3 - Vurgu 31"/>
    <w:basedOn w:val="NormalTablo"/>
    <w:uiPriority w:val="48"/>
    <w:semiHidden/>
    <w:rsid w:val="007D6614"/>
    <w:pPr>
      <w:spacing w:after="0" w:line="240" w:lineRule="auto"/>
    </w:pPr>
    <w:rPr>
      <w:lang w:val="en-US"/>
    </w:rPr>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0072BC"/>
      </w:rPr>
      <w:tblPr/>
      <w:tcPr>
        <w:shd w:val="clear" w:color="auto" w:fill="5F5F5F"/>
      </w:tcPr>
    </w:tblStylePr>
    <w:tblStylePr w:type="lastRow">
      <w:rPr>
        <w:b/>
        <w:bCs/>
      </w:rPr>
      <w:tblPr/>
      <w:tcPr>
        <w:tcBorders>
          <w:top w:val="double" w:sz="4" w:space="0" w:color="5F5F5F"/>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customStyle="1" w:styleId="ListeTablo3-Vurgu41">
    <w:name w:val="Liste Tablo 3 - Vurgu 41"/>
    <w:basedOn w:val="NormalTablo"/>
    <w:uiPriority w:val="48"/>
    <w:semiHidden/>
    <w:rsid w:val="007D6614"/>
    <w:pPr>
      <w:spacing w:after="0" w:line="240" w:lineRule="auto"/>
    </w:pPr>
    <w:rPr>
      <w:lang w:val="en-US"/>
    </w:rPr>
    <w:tblPr>
      <w:tblStyleRowBandSize w:val="1"/>
      <w:tblStyleColBandSize w:val="1"/>
      <w:tblBorders>
        <w:top w:val="single" w:sz="4" w:space="0" w:color="969696"/>
        <w:left w:val="single" w:sz="4" w:space="0" w:color="969696"/>
        <w:bottom w:val="single" w:sz="4" w:space="0" w:color="969696"/>
        <w:right w:val="single" w:sz="4" w:space="0" w:color="969696"/>
      </w:tblBorders>
    </w:tblPr>
    <w:tblStylePr w:type="firstRow">
      <w:rPr>
        <w:b/>
        <w:bCs/>
        <w:color w:val="0072BC"/>
      </w:rPr>
      <w:tblPr/>
      <w:tcPr>
        <w:shd w:val="clear" w:color="auto" w:fill="969696"/>
      </w:tcPr>
    </w:tblStylePr>
    <w:tblStylePr w:type="lastRow">
      <w:rPr>
        <w:b/>
        <w:bCs/>
      </w:rPr>
      <w:tblPr/>
      <w:tcPr>
        <w:tcBorders>
          <w:top w:val="double" w:sz="4" w:space="0" w:color="969696"/>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left w:val="nil"/>
        </w:tcBorders>
      </w:tcPr>
    </w:tblStylePr>
    <w:tblStylePr w:type="swCell">
      <w:tblPr/>
      <w:tcPr>
        <w:tcBorders>
          <w:top w:val="double" w:sz="4" w:space="0" w:color="969696"/>
          <w:right w:val="nil"/>
        </w:tcBorders>
      </w:tcPr>
    </w:tblStylePr>
  </w:style>
  <w:style w:type="table" w:customStyle="1" w:styleId="ListeTablo3-Vurgu51">
    <w:name w:val="Liste Tablo 3 - Vurgu 51"/>
    <w:basedOn w:val="NormalTablo"/>
    <w:uiPriority w:val="48"/>
    <w:semiHidden/>
    <w:rsid w:val="007D6614"/>
    <w:pPr>
      <w:spacing w:after="0" w:line="240" w:lineRule="auto"/>
    </w:pPr>
    <w:rPr>
      <w:lang w:val="en-US"/>
    </w:rPr>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0072BC"/>
      </w:rPr>
      <w:tblPr/>
      <w:tcPr>
        <w:shd w:val="clear" w:color="auto" w:fill="5F5F5F"/>
      </w:tcPr>
    </w:tblStylePr>
    <w:tblStylePr w:type="lastRow">
      <w:rPr>
        <w:b/>
        <w:bCs/>
      </w:rPr>
      <w:tblPr/>
      <w:tcPr>
        <w:tcBorders>
          <w:top w:val="double" w:sz="4" w:space="0" w:color="5F5F5F"/>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customStyle="1" w:styleId="ListeTablo3-Vurgu61">
    <w:name w:val="Liste Tablo 3 - Vurgu 61"/>
    <w:basedOn w:val="NormalTablo"/>
    <w:uiPriority w:val="48"/>
    <w:semiHidden/>
    <w:rsid w:val="007D6614"/>
    <w:pPr>
      <w:spacing w:after="0" w:line="240" w:lineRule="auto"/>
    </w:pPr>
    <w:rPr>
      <w:lang w:val="en-US"/>
    </w:rPr>
    <w:tblPr>
      <w:tblStyleRowBandSize w:val="1"/>
      <w:tblStyleColBandSize w:val="1"/>
      <w:tblBorders>
        <w:top w:val="single" w:sz="4" w:space="0" w:color="4D4D4D"/>
        <w:left w:val="single" w:sz="4" w:space="0" w:color="4D4D4D"/>
        <w:bottom w:val="single" w:sz="4" w:space="0" w:color="4D4D4D"/>
        <w:right w:val="single" w:sz="4" w:space="0" w:color="4D4D4D"/>
      </w:tblBorders>
    </w:tblPr>
    <w:tblStylePr w:type="firstRow">
      <w:rPr>
        <w:b/>
        <w:bCs/>
        <w:color w:val="0072BC"/>
      </w:rPr>
      <w:tblPr/>
      <w:tcPr>
        <w:shd w:val="clear" w:color="auto" w:fill="4D4D4D"/>
      </w:tcPr>
    </w:tblStylePr>
    <w:tblStylePr w:type="lastRow">
      <w:rPr>
        <w:b/>
        <w:bCs/>
      </w:rPr>
      <w:tblPr/>
      <w:tcPr>
        <w:tcBorders>
          <w:top w:val="double" w:sz="4" w:space="0" w:color="4D4D4D"/>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4D4D4D"/>
          <w:right w:val="single" w:sz="4" w:space="0" w:color="4D4D4D"/>
        </w:tcBorders>
      </w:tcPr>
    </w:tblStylePr>
    <w:tblStylePr w:type="band1Horz">
      <w:tblPr/>
      <w:tcPr>
        <w:tcBorders>
          <w:top w:val="single" w:sz="4" w:space="0" w:color="4D4D4D"/>
          <w:bottom w:val="single" w:sz="4" w:space="0" w:color="4D4D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left w:val="nil"/>
        </w:tcBorders>
      </w:tcPr>
    </w:tblStylePr>
    <w:tblStylePr w:type="swCell">
      <w:tblPr/>
      <w:tcPr>
        <w:tcBorders>
          <w:top w:val="double" w:sz="4" w:space="0" w:color="4D4D4D"/>
          <w:right w:val="nil"/>
        </w:tcBorders>
      </w:tcPr>
    </w:tblStylePr>
  </w:style>
  <w:style w:type="table" w:customStyle="1" w:styleId="ListeTablo41">
    <w:name w:val="Liste Tablo 41"/>
    <w:basedOn w:val="NormalTablo"/>
    <w:uiPriority w:val="49"/>
    <w:semiHidden/>
    <w:rsid w:val="007D6614"/>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0072BC"/>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4-Vurgu11">
    <w:name w:val="Liste Tablo 4 - Vurgu 11"/>
    <w:basedOn w:val="NormalTablo"/>
    <w:uiPriority w:val="49"/>
    <w:semiHidden/>
    <w:rsid w:val="007D6614"/>
    <w:pPr>
      <w:spacing w:after="0" w:line="240" w:lineRule="auto"/>
    </w:pPr>
    <w:rPr>
      <w:lang w:val="en-US"/>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tblBorders>
    </w:tblPr>
    <w:tblStylePr w:type="firstRow">
      <w:rPr>
        <w:b/>
        <w:bCs/>
        <w:color w:val="0072BC"/>
      </w:rPr>
      <w:tblPr/>
      <w:tcPr>
        <w:tcBorders>
          <w:top w:val="single" w:sz="4" w:space="0" w:color="0072BC"/>
          <w:left w:val="single" w:sz="4" w:space="0" w:color="0072BC"/>
          <w:bottom w:val="single" w:sz="4" w:space="0" w:color="0072BC"/>
          <w:right w:val="single" w:sz="4" w:space="0" w:color="0072BC"/>
          <w:insideH w:val="nil"/>
        </w:tcBorders>
        <w:shd w:val="clear" w:color="auto" w:fill="0072BC"/>
      </w:tcPr>
    </w:tblStylePr>
    <w:tblStylePr w:type="lastRow">
      <w:rPr>
        <w:b/>
        <w:bCs/>
      </w:rPr>
      <w:tblPr/>
      <w:tcPr>
        <w:tcBorders>
          <w:top w:val="doub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ListeTablo4-Vurgu21">
    <w:name w:val="Liste Tablo 4 - Vurgu 21"/>
    <w:basedOn w:val="NormalTablo"/>
    <w:uiPriority w:val="49"/>
    <w:semiHidden/>
    <w:rsid w:val="007D6614"/>
    <w:pPr>
      <w:spacing w:after="0" w:line="240" w:lineRule="auto"/>
    </w:pPr>
    <w:rPr>
      <w:lang w:val="en-US"/>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tblBorders>
    </w:tblPr>
    <w:tblStylePr w:type="firstRow">
      <w:rPr>
        <w:b/>
        <w:bCs/>
        <w:color w:val="0072BC"/>
      </w:rPr>
      <w:tblPr/>
      <w:tcPr>
        <w:tcBorders>
          <w:top w:val="single" w:sz="4" w:space="0" w:color="C00000"/>
          <w:left w:val="single" w:sz="4" w:space="0" w:color="C00000"/>
          <w:bottom w:val="single" w:sz="4" w:space="0" w:color="C00000"/>
          <w:right w:val="single" w:sz="4" w:space="0" w:color="C00000"/>
          <w:insideH w:val="nil"/>
        </w:tcBorders>
        <w:shd w:val="clear" w:color="auto" w:fill="C00000"/>
      </w:tcPr>
    </w:tblStylePr>
    <w:tblStylePr w:type="lastRow">
      <w:rPr>
        <w:b/>
        <w:bCs/>
      </w:rPr>
      <w:tblPr/>
      <w:tcPr>
        <w:tcBorders>
          <w:top w:val="doub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ListeTablo4-Vurgu31">
    <w:name w:val="Liste Tablo 4 - Vurgu 31"/>
    <w:basedOn w:val="NormalTablo"/>
    <w:uiPriority w:val="49"/>
    <w:semiHidden/>
    <w:rsid w:val="007D6614"/>
    <w:pPr>
      <w:spacing w:after="0" w:line="240" w:lineRule="auto"/>
    </w:pPr>
    <w:rPr>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4-Vurgu41">
    <w:name w:val="Liste Tablo 4 - Vurgu 41"/>
    <w:basedOn w:val="NormalTablo"/>
    <w:uiPriority w:val="49"/>
    <w:semiHidden/>
    <w:rsid w:val="007D6614"/>
    <w:pPr>
      <w:spacing w:after="0" w:line="240" w:lineRule="auto"/>
    </w:pPr>
    <w:rPr>
      <w:lang w:val="en-US"/>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tblBorders>
    </w:tblPr>
    <w:tblStylePr w:type="firstRow">
      <w:rPr>
        <w:b/>
        <w:bCs/>
        <w:color w:val="0072BC"/>
      </w:rPr>
      <w:tblPr/>
      <w:tcPr>
        <w:tcBorders>
          <w:top w:val="single" w:sz="4" w:space="0" w:color="969696"/>
          <w:left w:val="single" w:sz="4" w:space="0" w:color="969696"/>
          <w:bottom w:val="single" w:sz="4" w:space="0" w:color="969696"/>
          <w:right w:val="single" w:sz="4" w:space="0" w:color="969696"/>
          <w:insideH w:val="nil"/>
        </w:tcBorders>
        <w:shd w:val="clear" w:color="auto" w:fill="969696"/>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ListeTablo4-Vurgu51">
    <w:name w:val="Liste Tablo 4 - Vurgu 51"/>
    <w:basedOn w:val="NormalTablo"/>
    <w:uiPriority w:val="49"/>
    <w:semiHidden/>
    <w:rsid w:val="007D6614"/>
    <w:pPr>
      <w:spacing w:after="0" w:line="240" w:lineRule="auto"/>
    </w:pPr>
    <w:rPr>
      <w:lang w:val="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4-Vurgu61">
    <w:name w:val="Liste Tablo 4 - Vurgu 61"/>
    <w:basedOn w:val="NormalTablo"/>
    <w:uiPriority w:val="49"/>
    <w:semiHidden/>
    <w:rsid w:val="007D6614"/>
    <w:pPr>
      <w:spacing w:after="0" w:line="240" w:lineRule="auto"/>
    </w:pPr>
    <w:rPr>
      <w:lang w:val="en-US"/>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tblBorders>
    </w:tblPr>
    <w:tblStylePr w:type="firstRow">
      <w:rPr>
        <w:b/>
        <w:bCs/>
        <w:color w:val="0072BC"/>
      </w:rPr>
      <w:tblPr/>
      <w:tcPr>
        <w:tcBorders>
          <w:top w:val="single" w:sz="4" w:space="0" w:color="4D4D4D"/>
          <w:left w:val="single" w:sz="4" w:space="0" w:color="4D4D4D"/>
          <w:bottom w:val="single" w:sz="4" w:space="0" w:color="4D4D4D"/>
          <w:right w:val="single" w:sz="4" w:space="0" w:color="4D4D4D"/>
          <w:insideH w:val="nil"/>
        </w:tcBorders>
        <w:shd w:val="clear" w:color="auto" w:fill="4D4D4D"/>
      </w:tcPr>
    </w:tblStylePr>
    <w:tblStylePr w:type="lastRow">
      <w:rPr>
        <w:b/>
        <w:bCs/>
      </w:rPr>
      <w:tblPr/>
      <w:tcPr>
        <w:tcBorders>
          <w:top w:val="doub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ListeTablo5-Koyu1">
    <w:name w:val="Liste Tablo 5 - Koyu1"/>
    <w:basedOn w:val="NormalTablo"/>
    <w:uiPriority w:val="50"/>
    <w:semiHidden/>
    <w:rsid w:val="007D6614"/>
    <w:pPr>
      <w:spacing w:after="0" w:line="240" w:lineRule="auto"/>
    </w:pPr>
    <w:rPr>
      <w:color w:val="0072BC"/>
      <w:lang w:val="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semiHidden/>
    <w:rsid w:val="007D6614"/>
    <w:pPr>
      <w:spacing w:after="0" w:line="240" w:lineRule="auto"/>
    </w:pPr>
    <w:rPr>
      <w:color w:val="0072BC"/>
      <w:lang w:val="en-US"/>
    </w:rPr>
    <w:tblPr>
      <w:tblStyleRowBandSize w:val="1"/>
      <w:tblStyleColBandSize w:val="1"/>
      <w:tblBorders>
        <w:top w:val="single" w:sz="24" w:space="0" w:color="0072BC"/>
        <w:left w:val="single" w:sz="24" w:space="0" w:color="0072BC"/>
        <w:bottom w:val="single" w:sz="24" w:space="0" w:color="0072BC"/>
        <w:right w:val="single" w:sz="24" w:space="0" w:color="0072BC"/>
      </w:tblBorders>
    </w:tblPr>
    <w:tcPr>
      <w:shd w:val="clear" w:color="auto" w:fill="0072BC"/>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semiHidden/>
    <w:rsid w:val="007D6614"/>
    <w:pPr>
      <w:spacing w:after="0" w:line="240" w:lineRule="auto"/>
    </w:pPr>
    <w:rPr>
      <w:color w:val="0072BC"/>
      <w:lang w:val="en-US"/>
    </w:rPr>
    <w:tblPr>
      <w:tblStyleRowBandSize w:val="1"/>
      <w:tblStyleColBandSize w:val="1"/>
      <w:tblBorders>
        <w:top w:val="single" w:sz="24" w:space="0" w:color="C00000"/>
        <w:left w:val="single" w:sz="24" w:space="0" w:color="C00000"/>
        <w:bottom w:val="single" w:sz="24" w:space="0" w:color="C00000"/>
        <w:right w:val="single" w:sz="24" w:space="0" w:color="C00000"/>
      </w:tblBorders>
    </w:tblPr>
    <w:tcPr>
      <w:shd w:val="clear" w:color="auto" w:fill="C00000"/>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semiHidden/>
    <w:rsid w:val="007D6614"/>
    <w:pPr>
      <w:spacing w:after="0" w:line="240" w:lineRule="auto"/>
    </w:pPr>
    <w:rPr>
      <w:color w:val="0072BC"/>
      <w:lang w:val="en-US"/>
    </w:rPr>
    <w:tblPr>
      <w:tblStyleRowBandSize w:val="1"/>
      <w:tblStyleColBandSize w:val="1"/>
      <w:tblBorders>
        <w:top w:val="single" w:sz="24" w:space="0" w:color="5F5F5F"/>
        <w:left w:val="single" w:sz="24" w:space="0" w:color="5F5F5F"/>
        <w:bottom w:val="single" w:sz="24" w:space="0" w:color="5F5F5F"/>
        <w:right w:val="single" w:sz="24" w:space="0" w:color="5F5F5F"/>
      </w:tblBorders>
    </w:tblPr>
    <w:tcPr>
      <w:shd w:val="clear" w:color="auto" w:fill="5F5F5F"/>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semiHidden/>
    <w:rsid w:val="007D6614"/>
    <w:pPr>
      <w:spacing w:after="0" w:line="240" w:lineRule="auto"/>
    </w:pPr>
    <w:rPr>
      <w:color w:val="0072BC"/>
      <w:lang w:val="en-US"/>
    </w:rPr>
    <w:tblPr>
      <w:tblStyleRowBandSize w:val="1"/>
      <w:tblStyleColBandSize w:val="1"/>
      <w:tblBorders>
        <w:top w:val="single" w:sz="24" w:space="0" w:color="969696"/>
        <w:left w:val="single" w:sz="24" w:space="0" w:color="969696"/>
        <w:bottom w:val="single" w:sz="24" w:space="0" w:color="969696"/>
        <w:right w:val="single" w:sz="24" w:space="0" w:color="969696"/>
      </w:tblBorders>
    </w:tblPr>
    <w:tcPr>
      <w:shd w:val="clear" w:color="auto" w:fill="969696"/>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semiHidden/>
    <w:rsid w:val="007D6614"/>
    <w:pPr>
      <w:spacing w:after="0" w:line="240" w:lineRule="auto"/>
    </w:pPr>
    <w:rPr>
      <w:color w:val="0072BC"/>
      <w:lang w:val="en-US"/>
    </w:rPr>
    <w:tblPr>
      <w:tblStyleRowBandSize w:val="1"/>
      <w:tblStyleColBandSize w:val="1"/>
      <w:tblBorders>
        <w:top w:val="single" w:sz="24" w:space="0" w:color="5F5F5F"/>
        <w:left w:val="single" w:sz="24" w:space="0" w:color="5F5F5F"/>
        <w:bottom w:val="single" w:sz="24" w:space="0" w:color="5F5F5F"/>
        <w:right w:val="single" w:sz="24" w:space="0" w:color="5F5F5F"/>
      </w:tblBorders>
    </w:tblPr>
    <w:tcPr>
      <w:shd w:val="clear" w:color="auto" w:fill="5F5F5F"/>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semiHidden/>
    <w:rsid w:val="007D6614"/>
    <w:pPr>
      <w:spacing w:after="0" w:line="240" w:lineRule="auto"/>
    </w:pPr>
    <w:rPr>
      <w:color w:val="0072BC"/>
      <w:lang w:val="en-US"/>
    </w:rPr>
    <w:tblPr>
      <w:tblStyleRowBandSize w:val="1"/>
      <w:tblStyleColBandSize w:val="1"/>
      <w:tblBorders>
        <w:top w:val="single" w:sz="24" w:space="0" w:color="4D4D4D"/>
        <w:left w:val="single" w:sz="24" w:space="0" w:color="4D4D4D"/>
        <w:bottom w:val="single" w:sz="24" w:space="0" w:color="4D4D4D"/>
        <w:right w:val="single" w:sz="24" w:space="0" w:color="4D4D4D"/>
      </w:tblBorders>
    </w:tblPr>
    <w:tcPr>
      <w:shd w:val="clear" w:color="auto" w:fill="4D4D4D"/>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semiHidden/>
    <w:rsid w:val="007D6614"/>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Vurgu11">
    <w:name w:val="Liste Tablo 6 Renkli - Vurgu 11"/>
    <w:basedOn w:val="NormalTablo"/>
    <w:uiPriority w:val="51"/>
    <w:semiHidden/>
    <w:rsid w:val="007D6614"/>
    <w:pPr>
      <w:spacing w:after="0" w:line="240" w:lineRule="auto"/>
    </w:pPr>
    <w:rPr>
      <w:color w:val="00548C"/>
      <w:lang w:val="en-US"/>
    </w:rPr>
    <w:tblPr>
      <w:tblStyleRowBandSize w:val="1"/>
      <w:tblStyleColBandSize w:val="1"/>
      <w:tblBorders>
        <w:top w:val="single" w:sz="4" w:space="0" w:color="0072BC"/>
        <w:bottom w:val="single" w:sz="4" w:space="0" w:color="0072BC"/>
      </w:tblBorders>
    </w:tblPr>
    <w:tblStylePr w:type="firstRow">
      <w:rPr>
        <w:b/>
        <w:bCs/>
      </w:rPr>
      <w:tblPr/>
      <w:tcPr>
        <w:tcBorders>
          <w:bottom w:val="single" w:sz="4" w:space="0" w:color="0072BC"/>
        </w:tcBorders>
      </w:tcPr>
    </w:tblStylePr>
    <w:tblStylePr w:type="lastRow">
      <w:rPr>
        <w:b/>
        <w:bCs/>
      </w:rPr>
      <w:tblPr/>
      <w:tcPr>
        <w:tcBorders>
          <w:top w:val="double" w:sz="4" w:space="0" w:color="0072BC"/>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customStyle="1" w:styleId="ListeTablo6Renkli-Vurgu21">
    <w:name w:val="Liste Tablo 6 Renkli - Vurgu 21"/>
    <w:basedOn w:val="NormalTablo"/>
    <w:uiPriority w:val="51"/>
    <w:semiHidden/>
    <w:rsid w:val="007D6614"/>
    <w:pPr>
      <w:spacing w:after="0" w:line="240" w:lineRule="auto"/>
    </w:pPr>
    <w:rPr>
      <w:color w:val="8F0000"/>
      <w:lang w:val="en-US"/>
    </w:rPr>
    <w:tblPr>
      <w:tblStyleRowBandSize w:val="1"/>
      <w:tblStyleColBandSize w:val="1"/>
      <w:tblBorders>
        <w:top w:val="single" w:sz="4" w:space="0" w:color="C00000"/>
        <w:bottom w:val="single" w:sz="4" w:space="0" w:color="C00000"/>
      </w:tblBorders>
    </w:tblPr>
    <w:tblStylePr w:type="firstRow">
      <w:rPr>
        <w:b/>
        <w:bCs/>
      </w:rPr>
      <w:tblPr/>
      <w:tcPr>
        <w:tcBorders>
          <w:bottom w:val="single" w:sz="4" w:space="0" w:color="C00000"/>
        </w:tcBorders>
      </w:tcPr>
    </w:tblStylePr>
    <w:tblStylePr w:type="lastRow">
      <w:rPr>
        <w:b/>
        <w:bCs/>
      </w:rPr>
      <w:tblPr/>
      <w:tcPr>
        <w:tcBorders>
          <w:top w:val="double" w:sz="4" w:space="0" w:color="C0000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customStyle="1" w:styleId="ListeTablo6Renkli-Vurgu31">
    <w:name w:val="Liste Tablo 6 Renkli - Vurgu 31"/>
    <w:basedOn w:val="NormalTablo"/>
    <w:uiPriority w:val="51"/>
    <w:semiHidden/>
    <w:rsid w:val="007D6614"/>
    <w:pPr>
      <w:spacing w:after="0" w:line="240" w:lineRule="auto"/>
    </w:pPr>
    <w:rPr>
      <w:color w:val="474747"/>
      <w:lang w:val="en-US"/>
    </w:rPr>
    <w:tblPr>
      <w:tblStyleRowBandSize w:val="1"/>
      <w:tblStyleColBandSize w:val="1"/>
      <w:tblBorders>
        <w:top w:val="single" w:sz="4" w:space="0" w:color="5F5F5F"/>
        <w:bottom w:val="single" w:sz="4" w:space="0" w:color="5F5F5F"/>
      </w:tblBorders>
    </w:tblPr>
    <w:tblStylePr w:type="firstRow">
      <w:rPr>
        <w:b/>
        <w:bCs/>
      </w:rPr>
      <w:tblPr/>
      <w:tcPr>
        <w:tcBorders>
          <w:bottom w:val="single" w:sz="4" w:space="0" w:color="5F5F5F"/>
        </w:tcBorders>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6Renkli-Vurgu41">
    <w:name w:val="Liste Tablo 6 Renkli - Vurgu 41"/>
    <w:basedOn w:val="NormalTablo"/>
    <w:uiPriority w:val="51"/>
    <w:semiHidden/>
    <w:rsid w:val="007D6614"/>
    <w:pPr>
      <w:spacing w:after="0" w:line="240" w:lineRule="auto"/>
    </w:pPr>
    <w:rPr>
      <w:color w:val="707070"/>
      <w:lang w:val="en-US"/>
    </w:r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double" w:sz="4" w:space="0" w:color="969696"/>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ListeTablo6Renkli-Vurgu51">
    <w:name w:val="Liste Tablo 6 Renkli - Vurgu 51"/>
    <w:basedOn w:val="NormalTablo"/>
    <w:uiPriority w:val="51"/>
    <w:semiHidden/>
    <w:rsid w:val="007D6614"/>
    <w:pPr>
      <w:spacing w:after="0" w:line="240" w:lineRule="auto"/>
    </w:pPr>
    <w:rPr>
      <w:color w:val="474747"/>
      <w:lang w:val="en-US"/>
    </w:rPr>
    <w:tblPr>
      <w:tblStyleRowBandSize w:val="1"/>
      <w:tblStyleColBandSize w:val="1"/>
      <w:tblBorders>
        <w:top w:val="single" w:sz="4" w:space="0" w:color="5F5F5F"/>
        <w:bottom w:val="single" w:sz="4" w:space="0" w:color="5F5F5F"/>
      </w:tblBorders>
    </w:tblPr>
    <w:tblStylePr w:type="firstRow">
      <w:rPr>
        <w:b/>
        <w:bCs/>
      </w:rPr>
      <w:tblPr/>
      <w:tcPr>
        <w:tcBorders>
          <w:bottom w:val="single" w:sz="4" w:space="0" w:color="5F5F5F"/>
        </w:tcBorders>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ListeTablo6Renkli-Vurgu61">
    <w:name w:val="Liste Tablo 6 Renkli - Vurgu 61"/>
    <w:basedOn w:val="NormalTablo"/>
    <w:uiPriority w:val="51"/>
    <w:semiHidden/>
    <w:rsid w:val="007D6614"/>
    <w:pPr>
      <w:spacing w:after="0" w:line="240" w:lineRule="auto"/>
    </w:pPr>
    <w:rPr>
      <w:color w:val="393939"/>
      <w:lang w:val="en-US"/>
    </w:rPr>
    <w:tblPr>
      <w:tblStyleRowBandSize w:val="1"/>
      <w:tblStyleColBandSize w:val="1"/>
      <w:tblBorders>
        <w:top w:val="single" w:sz="4" w:space="0" w:color="4D4D4D"/>
        <w:bottom w:val="single" w:sz="4" w:space="0" w:color="4D4D4D"/>
      </w:tblBorders>
    </w:tblPr>
    <w:tblStylePr w:type="firstRow">
      <w:rPr>
        <w:b/>
        <w:bCs/>
      </w:rPr>
      <w:tblPr/>
      <w:tcPr>
        <w:tcBorders>
          <w:bottom w:val="single" w:sz="4" w:space="0" w:color="4D4D4D"/>
        </w:tcBorders>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ListeTablo7Renkli1">
    <w:name w:val="Liste Tablo 7 Renkli1"/>
    <w:basedOn w:val="NormalTablo"/>
    <w:uiPriority w:val="52"/>
    <w:semiHidden/>
    <w:rsid w:val="007D6614"/>
    <w:pPr>
      <w:spacing w:after="0" w:line="240" w:lineRule="auto"/>
    </w:pPr>
    <w:rPr>
      <w:color w:val="000000"/>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000000"/>
        </w:tcBorders>
        <w:shd w:val="clear" w:color="auto" w:fill="0072BC"/>
      </w:tcPr>
    </w:tblStylePr>
    <w:tblStylePr w:type="lastRow">
      <w:rPr>
        <w:rFonts w:ascii="Times New Roman" w:eastAsia="MS Gothic" w:hAnsi="Times New Roman" w:cs="Microsoft Himalaya"/>
        <w:i/>
        <w:iCs/>
        <w:sz w:val="26"/>
      </w:rPr>
      <w:tblPr/>
      <w:tcPr>
        <w:tcBorders>
          <w:top w:val="single" w:sz="4" w:space="0" w:color="000000"/>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000000"/>
        </w:tcBorders>
        <w:shd w:val="clear" w:color="auto" w:fill="0072BC"/>
      </w:tcPr>
    </w:tblStylePr>
    <w:tblStylePr w:type="lastCol">
      <w:rPr>
        <w:rFonts w:ascii="Times New Roman" w:eastAsia="MS Gothic" w:hAnsi="Times New Roman" w:cs="Microsoft Himalaya"/>
        <w:i/>
        <w:iCs/>
        <w:sz w:val="26"/>
      </w:rPr>
      <w:tblPr/>
      <w:tcPr>
        <w:tcBorders>
          <w:left w:val="single" w:sz="4" w:space="0" w:color="000000"/>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semiHidden/>
    <w:rsid w:val="007D6614"/>
    <w:pPr>
      <w:spacing w:after="0" w:line="240" w:lineRule="auto"/>
    </w:pPr>
    <w:rPr>
      <w:color w:val="00548C"/>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0072BC"/>
        </w:tcBorders>
        <w:shd w:val="clear" w:color="auto" w:fill="0072BC"/>
      </w:tcPr>
    </w:tblStylePr>
    <w:tblStylePr w:type="lastRow">
      <w:rPr>
        <w:rFonts w:ascii="Times New Roman" w:eastAsia="MS Gothic" w:hAnsi="Times New Roman" w:cs="Microsoft Himalaya"/>
        <w:i/>
        <w:iCs/>
        <w:sz w:val="26"/>
      </w:rPr>
      <w:tblPr/>
      <w:tcPr>
        <w:tcBorders>
          <w:top w:val="single" w:sz="4" w:space="0" w:color="0072BC"/>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0072BC"/>
        </w:tcBorders>
        <w:shd w:val="clear" w:color="auto" w:fill="0072BC"/>
      </w:tcPr>
    </w:tblStylePr>
    <w:tblStylePr w:type="lastCol">
      <w:rPr>
        <w:rFonts w:ascii="Times New Roman" w:eastAsia="MS Gothic" w:hAnsi="Times New Roman" w:cs="Microsoft Himalaya"/>
        <w:i/>
        <w:iCs/>
        <w:sz w:val="26"/>
      </w:rPr>
      <w:tblPr/>
      <w:tcPr>
        <w:tcBorders>
          <w:left w:val="single" w:sz="4" w:space="0" w:color="0072BC"/>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semiHidden/>
    <w:rsid w:val="007D6614"/>
    <w:pPr>
      <w:spacing w:after="0" w:line="240" w:lineRule="auto"/>
    </w:pPr>
    <w:rPr>
      <w:color w:val="8F0000"/>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C00000"/>
        </w:tcBorders>
        <w:shd w:val="clear" w:color="auto" w:fill="0072BC"/>
      </w:tcPr>
    </w:tblStylePr>
    <w:tblStylePr w:type="lastRow">
      <w:rPr>
        <w:rFonts w:ascii="Times New Roman" w:eastAsia="MS Gothic" w:hAnsi="Times New Roman" w:cs="Microsoft Himalaya"/>
        <w:i/>
        <w:iCs/>
        <w:sz w:val="26"/>
      </w:rPr>
      <w:tblPr/>
      <w:tcPr>
        <w:tcBorders>
          <w:top w:val="single" w:sz="4" w:space="0" w:color="C00000"/>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C00000"/>
        </w:tcBorders>
        <w:shd w:val="clear" w:color="auto" w:fill="0072BC"/>
      </w:tcPr>
    </w:tblStylePr>
    <w:tblStylePr w:type="lastCol">
      <w:rPr>
        <w:rFonts w:ascii="Times New Roman" w:eastAsia="MS Gothic" w:hAnsi="Times New Roman" w:cs="Microsoft Himalaya"/>
        <w:i/>
        <w:iCs/>
        <w:sz w:val="26"/>
      </w:rPr>
      <w:tblPr/>
      <w:tcPr>
        <w:tcBorders>
          <w:left w:val="single" w:sz="4" w:space="0" w:color="C00000"/>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semiHidden/>
    <w:rsid w:val="007D6614"/>
    <w:pPr>
      <w:spacing w:after="0" w:line="240" w:lineRule="auto"/>
    </w:pPr>
    <w:rPr>
      <w:color w:val="474747"/>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5F5F5F"/>
        </w:tcBorders>
        <w:shd w:val="clear" w:color="auto" w:fill="0072BC"/>
      </w:tcPr>
    </w:tblStylePr>
    <w:tblStylePr w:type="lastRow">
      <w:rPr>
        <w:rFonts w:ascii="Times New Roman" w:eastAsia="MS Gothic" w:hAnsi="Times New Roman" w:cs="Microsoft Himalaya"/>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5F5F5F"/>
        </w:tcBorders>
        <w:shd w:val="clear" w:color="auto" w:fill="0072BC"/>
      </w:tcPr>
    </w:tblStylePr>
    <w:tblStylePr w:type="lastCol">
      <w:rPr>
        <w:rFonts w:ascii="Times New Roman" w:eastAsia="MS Gothic" w:hAnsi="Times New Roman" w:cs="Microsoft Himalaya"/>
        <w:i/>
        <w:iCs/>
        <w:sz w:val="26"/>
      </w:rPr>
      <w:tblPr/>
      <w:tcPr>
        <w:tcBorders>
          <w:left w:val="single" w:sz="4" w:space="0" w:color="5F5F5F"/>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semiHidden/>
    <w:rsid w:val="007D6614"/>
    <w:pPr>
      <w:spacing w:after="0" w:line="240" w:lineRule="auto"/>
    </w:pPr>
    <w:rPr>
      <w:color w:val="707070"/>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969696"/>
        </w:tcBorders>
        <w:shd w:val="clear" w:color="auto" w:fill="0072BC"/>
      </w:tcPr>
    </w:tblStylePr>
    <w:tblStylePr w:type="lastRow">
      <w:rPr>
        <w:rFonts w:ascii="Times New Roman" w:eastAsia="MS Gothic" w:hAnsi="Times New Roman" w:cs="Microsoft Himalaya"/>
        <w:i/>
        <w:iCs/>
        <w:sz w:val="26"/>
      </w:rPr>
      <w:tblPr/>
      <w:tcPr>
        <w:tcBorders>
          <w:top w:val="single" w:sz="4" w:space="0" w:color="969696"/>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969696"/>
        </w:tcBorders>
        <w:shd w:val="clear" w:color="auto" w:fill="0072BC"/>
      </w:tcPr>
    </w:tblStylePr>
    <w:tblStylePr w:type="lastCol">
      <w:rPr>
        <w:rFonts w:ascii="Times New Roman" w:eastAsia="MS Gothic" w:hAnsi="Times New Roman" w:cs="Microsoft Himalaya"/>
        <w:i/>
        <w:iCs/>
        <w:sz w:val="26"/>
      </w:rPr>
      <w:tblPr/>
      <w:tcPr>
        <w:tcBorders>
          <w:left w:val="single" w:sz="4" w:space="0" w:color="969696"/>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semiHidden/>
    <w:rsid w:val="007D6614"/>
    <w:pPr>
      <w:spacing w:after="0" w:line="240" w:lineRule="auto"/>
    </w:pPr>
    <w:rPr>
      <w:color w:val="474747"/>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5F5F5F"/>
        </w:tcBorders>
        <w:shd w:val="clear" w:color="auto" w:fill="0072BC"/>
      </w:tcPr>
    </w:tblStylePr>
    <w:tblStylePr w:type="lastRow">
      <w:rPr>
        <w:rFonts w:ascii="Times New Roman" w:eastAsia="MS Gothic" w:hAnsi="Times New Roman" w:cs="Microsoft Himalaya"/>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5F5F5F"/>
        </w:tcBorders>
        <w:shd w:val="clear" w:color="auto" w:fill="0072BC"/>
      </w:tcPr>
    </w:tblStylePr>
    <w:tblStylePr w:type="lastCol">
      <w:rPr>
        <w:rFonts w:ascii="Times New Roman" w:eastAsia="MS Gothic" w:hAnsi="Times New Roman" w:cs="Microsoft Himalaya"/>
        <w:i/>
        <w:iCs/>
        <w:sz w:val="26"/>
      </w:rPr>
      <w:tblPr/>
      <w:tcPr>
        <w:tcBorders>
          <w:left w:val="single" w:sz="4" w:space="0" w:color="5F5F5F"/>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semiHidden/>
    <w:rsid w:val="007D6614"/>
    <w:pPr>
      <w:spacing w:after="0" w:line="240" w:lineRule="auto"/>
    </w:pPr>
    <w:rPr>
      <w:color w:val="393939"/>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4D4D4D"/>
        </w:tcBorders>
        <w:shd w:val="clear" w:color="auto" w:fill="0072BC"/>
      </w:tcPr>
    </w:tblStylePr>
    <w:tblStylePr w:type="lastRow">
      <w:rPr>
        <w:rFonts w:ascii="Times New Roman" w:eastAsia="MS Gothic" w:hAnsi="Times New Roman" w:cs="Microsoft Himalaya"/>
        <w:i/>
        <w:iCs/>
        <w:sz w:val="26"/>
      </w:rPr>
      <w:tblPr/>
      <w:tcPr>
        <w:tcBorders>
          <w:top w:val="single" w:sz="4" w:space="0" w:color="4D4D4D"/>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4D4D4D"/>
        </w:tcBorders>
        <w:shd w:val="clear" w:color="auto" w:fill="0072BC"/>
      </w:tcPr>
    </w:tblStylePr>
    <w:tblStylePr w:type="lastCol">
      <w:rPr>
        <w:rFonts w:ascii="Times New Roman" w:eastAsia="MS Gothic" w:hAnsi="Times New Roman" w:cs="Microsoft Himalaya"/>
        <w:i/>
        <w:iCs/>
        <w:sz w:val="26"/>
      </w:rPr>
      <w:tblPr/>
      <w:tcPr>
        <w:tcBorders>
          <w:left w:val="single" w:sz="4" w:space="0" w:color="4D4D4D"/>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hset1">
    <w:name w:val="Bahset1"/>
    <w:basedOn w:val="VarsaylanParagrafYazTipi"/>
    <w:uiPriority w:val="99"/>
    <w:semiHidden/>
    <w:unhideWhenUsed/>
    <w:rsid w:val="007D6614"/>
    <w:rPr>
      <w:color w:val="2B579A"/>
      <w:shd w:val="clear" w:color="auto" w:fill="E1DFDD"/>
    </w:rPr>
  </w:style>
  <w:style w:type="table" w:customStyle="1" w:styleId="DzTablo11">
    <w:name w:val="Düz Tablo 11"/>
    <w:basedOn w:val="NormalTablo"/>
    <w:uiPriority w:val="41"/>
    <w:semiHidden/>
    <w:rsid w:val="007D6614"/>
    <w:pPr>
      <w:spacing w:after="0" w:line="240" w:lineRule="auto"/>
    </w:pPr>
    <w:rPr>
      <w:lang w:val="en-US"/>
    </w:rPr>
    <w:tblPr>
      <w:tblStyleRowBandSize w:val="1"/>
      <w:tblStyleColBandSize w:val="1"/>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Pr>
    <w:tblStylePr w:type="firstRow">
      <w:rPr>
        <w:b/>
        <w:bCs/>
      </w:rPr>
    </w:tblStylePr>
    <w:tblStylePr w:type="lastRow">
      <w:rPr>
        <w:b/>
        <w:bCs/>
      </w:rPr>
      <w:tblPr/>
      <w:tcPr>
        <w:tcBorders>
          <w:top w:val="double" w:sz="4" w:space="0" w:color="00548C"/>
        </w:tcBorders>
      </w:tcPr>
    </w:tblStylePr>
    <w:tblStylePr w:type="firstCol">
      <w:rPr>
        <w:b/>
        <w:bCs/>
      </w:rPr>
    </w:tblStylePr>
    <w:tblStylePr w:type="lastCol">
      <w:rPr>
        <w:b/>
        <w:bCs/>
      </w:rPr>
    </w:tblStylePr>
    <w:tblStylePr w:type="band1Vert">
      <w:tblPr/>
      <w:tcPr>
        <w:shd w:val="clear" w:color="auto" w:fill="006BB2"/>
      </w:tcPr>
    </w:tblStylePr>
    <w:tblStylePr w:type="band1Horz">
      <w:tblPr/>
      <w:tcPr>
        <w:shd w:val="clear" w:color="auto" w:fill="006BB2"/>
      </w:tcPr>
    </w:tblStylePr>
  </w:style>
  <w:style w:type="table" w:customStyle="1" w:styleId="DzTablo21">
    <w:name w:val="Düz Tablo 21"/>
    <w:basedOn w:val="NormalTablo"/>
    <w:uiPriority w:val="42"/>
    <w:semiHidden/>
    <w:rsid w:val="007D6614"/>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31">
    <w:name w:val="Düz Tablo 31"/>
    <w:basedOn w:val="NormalTablo"/>
    <w:uiPriority w:val="43"/>
    <w:semiHidden/>
    <w:rsid w:val="007D6614"/>
    <w:pPr>
      <w:spacing w:after="0" w:line="240" w:lineRule="auto"/>
    </w:pPr>
    <w:rPr>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006BB2"/>
      </w:tcPr>
    </w:tblStylePr>
    <w:tblStylePr w:type="band1Horz">
      <w:tblPr/>
      <w:tcPr>
        <w:shd w:val="clear" w:color="auto" w:fill="006BB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semiHidden/>
    <w:rsid w:val="007D6614"/>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cPr>
    </w:tblStylePr>
    <w:tblStylePr w:type="band1Horz">
      <w:tblPr/>
      <w:tcPr>
        <w:shd w:val="clear" w:color="auto" w:fill="006BB2"/>
      </w:tcPr>
    </w:tblStylePr>
  </w:style>
  <w:style w:type="table" w:customStyle="1" w:styleId="DzTablo51">
    <w:name w:val="Düz Tablo 51"/>
    <w:basedOn w:val="NormalTablo"/>
    <w:uiPriority w:val="45"/>
    <w:semiHidden/>
    <w:rsid w:val="007D6614"/>
    <w:pPr>
      <w:spacing w:after="0" w:line="240" w:lineRule="auto"/>
    </w:pPr>
    <w:rPr>
      <w:lang w:val="en-US"/>
    </w:rPr>
    <w:tblPr>
      <w:tblStyleRowBandSize w:val="1"/>
      <w:tblStyleColBandSize w:val="1"/>
    </w:tblPr>
    <w:tblStylePr w:type="firstRow">
      <w:rPr>
        <w:rFonts w:ascii="Times New Roman" w:eastAsia="MS Gothic" w:hAnsi="Times New Roman" w:cs="Microsoft Himalaya"/>
        <w:i/>
        <w:iCs/>
        <w:sz w:val="26"/>
      </w:rPr>
      <w:tblPr/>
      <w:tcPr>
        <w:tcBorders>
          <w:bottom w:val="single" w:sz="4" w:space="0" w:color="7F7F7F"/>
        </w:tcBorders>
        <w:shd w:val="clear" w:color="auto" w:fill="0072BC"/>
      </w:tcPr>
    </w:tblStylePr>
    <w:tblStylePr w:type="lastRow">
      <w:rPr>
        <w:rFonts w:ascii="Times New Roman" w:eastAsia="MS Gothic" w:hAnsi="Times New Roman" w:cs="Microsoft Himalaya"/>
        <w:i/>
        <w:iCs/>
        <w:sz w:val="26"/>
      </w:rPr>
      <w:tblPr/>
      <w:tcPr>
        <w:tcBorders>
          <w:top w:val="single" w:sz="4" w:space="0" w:color="7F7F7F"/>
        </w:tcBorders>
        <w:shd w:val="clear" w:color="auto" w:fill="0072BC"/>
      </w:tcPr>
    </w:tblStylePr>
    <w:tblStylePr w:type="firstCol">
      <w:pPr>
        <w:jc w:val="right"/>
      </w:pPr>
      <w:rPr>
        <w:rFonts w:ascii="Times New Roman" w:eastAsia="MS Gothic" w:hAnsi="Times New Roman" w:cs="Microsoft Himalaya"/>
        <w:i/>
        <w:iCs/>
        <w:sz w:val="26"/>
      </w:rPr>
      <w:tblPr/>
      <w:tcPr>
        <w:tcBorders>
          <w:right w:val="single" w:sz="4" w:space="0" w:color="7F7F7F"/>
        </w:tcBorders>
        <w:shd w:val="clear" w:color="auto" w:fill="0072BC"/>
      </w:tcPr>
    </w:tblStylePr>
    <w:tblStylePr w:type="lastCol">
      <w:rPr>
        <w:rFonts w:ascii="Times New Roman" w:eastAsia="MS Gothic" w:hAnsi="Times New Roman" w:cs="Microsoft Himalaya"/>
        <w:i/>
        <w:iCs/>
        <w:sz w:val="26"/>
      </w:rPr>
      <w:tblPr/>
      <w:tcPr>
        <w:tcBorders>
          <w:left w:val="single" w:sz="4" w:space="0" w:color="7F7F7F"/>
        </w:tcBorders>
        <w:shd w:val="clear" w:color="auto" w:fill="0072BC"/>
      </w:tcPr>
    </w:tblStylePr>
    <w:tblStylePr w:type="band1Vert">
      <w:tblPr/>
      <w:tcPr>
        <w:shd w:val="clear" w:color="auto" w:fill="006BB2"/>
      </w:tcPr>
    </w:tblStylePr>
    <w:tblStylePr w:type="band1Horz">
      <w:tblPr/>
      <w:tcPr>
        <w:shd w:val="clear" w:color="auto" w:fill="006BB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kllKpr1">
    <w:name w:val="Akıllı Köprü1"/>
    <w:basedOn w:val="VarsaylanParagrafYazTipi"/>
    <w:uiPriority w:val="99"/>
    <w:semiHidden/>
    <w:unhideWhenUsed/>
    <w:rsid w:val="007D6614"/>
    <w:rPr>
      <w:u w:val="dotted"/>
    </w:rPr>
  </w:style>
  <w:style w:type="character" w:customStyle="1" w:styleId="SmartLink1">
    <w:name w:val="SmartLink1"/>
    <w:basedOn w:val="VarsaylanParagrafYazTipi"/>
    <w:uiPriority w:val="99"/>
    <w:semiHidden/>
    <w:unhideWhenUsed/>
    <w:rsid w:val="007D6614"/>
    <w:rPr>
      <w:color w:val="0000FF"/>
      <w:u w:val="single"/>
      <w:shd w:val="clear" w:color="auto" w:fill="F3F2F1"/>
    </w:rPr>
  </w:style>
  <w:style w:type="table" w:customStyle="1" w:styleId="TabloKlavuzuAk1">
    <w:name w:val="Tablo Kılavuzu Açık1"/>
    <w:basedOn w:val="NormalTablo"/>
    <w:uiPriority w:val="40"/>
    <w:semiHidden/>
    <w:rsid w:val="007D6614"/>
    <w:pPr>
      <w:spacing w:after="0" w:line="240" w:lineRule="auto"/>
    </w:pPr>
    <w:rPr>
      <w:lang w:val="en-US"/>
    </w:rPr>
    <w:tblPr>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Pr>
  </w:style>
  <w:style w:type="character" w:customStyle="1" w:styleId="zmlenmeyenBahsetme1">
    <w:name w:val="Çözümlenmeyen Bahsetme1"/>
    <w:basedOn w:val="VarsaylanParagrafYazTipi"/>
    <w:uiPriority w:val="99"/>
    <w:semiHidden/>
    <w:unhideWhenUsed/>
    <w:rsid w:val="007D6614"/>
    <w:rPr>
      <w:color w:val="605E5C"/>
      <w:shd w:val="clear" w:color="auto" w:fill="E1DFDD"/>
    </w:rPr>
  </w:style>
  <w:style w:type="character" w:customStyle="1" w:styleId="jlqj4b">
    <w:name w:val="jlqj4b"/>
    <w:basedOn w:val="VarsaylanParagrafYazTipi"/>
    <w:rsid w:val="007D6614"/>
  </w:style>
  <w:style w:type="paragraph" w:styleId="KonuBal">
    <w:name w:val="Title"/>
    <w:basedOn w:val="Normal"/>
    <w:next w:val="Normal"/>
    <w:link w:val="KonuBalChar"/>
    <w:uiPriority w:val="98"/>
    <w:qFormat/>
    <w:rsid w:val="007D6614"/>
    <w:pPr>
      <w:spacing w:after="0" w:line="240" w:lineRule="auto"/>
      <w:contextualSpacing/>
    </w:pPr>
    <w:rPr>
      <w:rFonts w:ascii="Times New Roman" w:eastAsia="MS Gothic" w:hAnsi="Times New Roman" w:cs="Microsoft Himalaya"/>
      <w:spacing w:val="5"/>
      <w:sz w:val="52"/>
      <w:szCs w:val="52"/>
      <w:lang w:val="en-GB" w:bidi="en-US"/>
    </w:rPr>
  </w:style>
  <w:style w:type="character" w:customStyle="1" w:styleId="KonuBalChar1">
    <w:name w:val="Konu Başlığı Char1"/>
    <w:basedOn w:val="VarsaylanParagrafYazTipi"/>
    <w:uiPriority w:val="10"/>
    <w:rsid w:val="007D66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8"/>
    <w:qFormat/>
    <w:rsid w:val="007D6614"/>
    <w:pPr>
      <w:numPr>
        <w:ilvl w:val="1"/>
      </w:numPr>
    </w:pPr>
    <w:rPr>
      <w:rFonts w:ascii="Times New Roman" w:eastAsia="MS Gothic" w:hAnsi="Times New Roman" w:cs="Microsoft Himalaya"/>
      <w:i/>
      <w:iCs/>
      <w:spacing w:val="13"/>
      <w:sz w:val="24"/>
      <w:szCs w:val="24"/>
      <w:lang w:val="en-GB" w:bidi="en-US"/>
    </w:rPr>
  </w:style>
  <w:style w:type="character" w:customStyle="1" w:styleId="AltyazChar1">
    <w:name w:val="Altyazı Char1"/>
    <w:basedOn w:val="VarsaylanParagrafYazTipi"/>
    <w:uiPriority w:val="11"/>
    <w:rsid w:val="007D6614"/>
    <w:rPr>
      <w:rFonts w:eastAsiaTheme="minorEastAsia"/>
      <w:color w:val="5A5A5A" w:themeColor="text1" w:themeTint="A5"/>
      <w:spacing w:val="15"/>
    </w:rPr>
  </w:style>
  <w:style w:type="paragraph" w:styleId="bekMetni">
    <w:name w:val="Block Text"/>
    <w:basedOn w:val="Normal"/>
    <w:uiPriority w:val="99"/>
    <w:semiHidden/>
    <w:unhideWhenUsed/>
    <w:rsid w:val="007D66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table" w:styleId="RenkliKlavuz">
    <w:name w:val="Colorful Grid"/>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semiHidden/>
    <w:unhideWhenUsed/>
    <w:rsid w:val="007D66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semiHidden/>
    <w:unhideWhenUsed/>
    <w:rsid w:val="007D66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7D66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semiHidden/>
    <w:unhideWhenUsed/>
    <w:rsid w:val="007D66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MektupAdresi">
    <w:name w:val="envelope address"/>
    <w:basedOn w:val="Normal"/>
    <w:uiPriority w:val="99"/>
    <w:semiHidden/>
    <w:unhideWhenUsed/>
    <w:rsid w:val="007D661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7D6614"/>
    <w:pPr>
      <w:spacing w:after="0" w:line="240" w:lineRule="auto"/>
    </w:pPr>
    <w:rPr>
      <w:rFonts w:asciiTheme="majorHAnsi" w:eastAsiaTheme="majorEastAsia" w:hAnsiTheme="majorHAnsi" w:cstheme="majorBidi"/>
      <w:sz w:val="20"/>
      <w:szCs w:val="20"/>
    </w:rPr>
  </w:style>
  <w:style w:type="character" w:styleId="zlenenKpr">
    <w:name w:val="FollowedHyperlink"/>
    <w:basedOn w:val="VarsaylanParagrafYazTipi"/>
    <w:uiPriority w:val="99"/>
    <w:semiHidden/>
    <w:unhideWhenUsed/>
    <w:rsid w:val="007D6614"/>
    <w:rPr>
      <w:color w:val="954F72" w:themeColor="followedHyperlink"/>
      <w:u w:val="single"/>
    </w:rPr>
  </w:style>
  <w:style w:type="table" w:styleId="AkKlavuz">
    <w:name w:val="Light Grid"/>
    <w:basedOn w:val="NormalTablo"/>
    <w:uiPriority w:val="62"/>
    <w:semiHidden/>
    <w:unhideWhenUsed/>
    <w:rsid w:val="007D66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7D661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7D66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7D66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7D66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7D66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7D66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semiHidden/>
    <w:unhideWhenUsed/>
    <w:rsid w:val="007D66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7D661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7D66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7D66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7D66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7D66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7D66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7D66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7D661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7D66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7D66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7D66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7D66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7D66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MakroMetni">
    <w:name w:val="macro"/>
    <w:link w:val="MakroMetniChar1"/>
    <w:uiPriority w:val="99"/>
    <w:semiHidden/>
    <w:unhideWhenUsed/>
    <w:rsid w:val="007D66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MetniChar1">
    <w:name w:val="Makro Metni Char1"/>
    <w:basedOn w:val="VarsaylanParagrafYazTipi"/>
    <w:link w:val="MakroMetni"/>
    <w:uiPriority w:val="99"/>
    <w:semiHidden/>
    <w:rsid w:val="007D6614"/>
    <w:rPr>
      <w:rFonts w:ascii="Consolas" w:hAnsi="Consolas" w:cs="Consolas"/>
      <w:sz w:val="20"/>
      <w:szCs w:val="20"/>
    </w:rPr>
  </w:style>
  <w:style w:type="table" w:styleId="OrtaKlavuz1">
    <w:name w:val="Medium Grid 1"/>
    <w:basedOn w:val="NormalTablo"/>
    <w:uiPriority w:val="67"/>
    <w:semiHidden/>
    <w:unhideWhenUsed/>
    <w:rsid w:val="007D66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7D661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7D66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7D66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7D66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7D66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7D66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7D6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7D66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7D66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7D66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7D661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7D66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7D66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7D66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7D66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7D66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7D66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1"/>
    <w:uiPriority w:val="99"/>
    <w:semiHidden/>
    <w:unhideWhenUsed/>
    <w:rsid w:val="007D66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1">
    <w:name w:val="İleti Üst Bilgisi Char1"/>
    <w:basedOn w:val="VarsaylanParagrafYazTipi"/>
    <w:link w:val="letistBilgisi"/>
    <w:uiPriority w:val="99"/>
    <w:semiHidden/>
    <w:rsid w:val="007D6614"/>
    <w:rPr>
      <w:rFonts w:asciiTheme="majorHAnsi" w:eastAsiaTheme="majorEastAsia" w:hAnsiTheme="majorHAnsi" w:cstheme="majorBidi"/>
      <w:sz w:val="24"/>
      <w:szCs w:val="24"/>
      <w:shd w:val="pct20" w:color="auto" w:fill="auto"/>
    </w:rPr>
  </w:style>
  <w:style w:type="character" w:styleId="YerTutucuMetni">
    <w:name w:val="Placeholder Text"/>
    <w:basedOn w:val="VarsaylanParagrafYazTipi"/>
    <w:uiPriority w:val="99"/>
    <w:semiHidden/>
    <w:rsid w:val="007D6614"/>
    <w:rPr>
      <w:color w:val="808080"/>
    </w:rPr>
  </w:style>
  <w:style w:type="paragraph" w:styleId="Dzeltme">
    <w:name w:val="Revision"/>
    <w:hidden/>
    <w:uiPriority w:val="99"/>
    <w:semiHidden/>
    <w:rsid w:val="007D6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2430">
      <w:bodyDiv w:val="1"/>
      <w:marLeft w:val="0"/>
      <w:marRight w:val="0"/>
      <w:marTop w:val="0"/>
      <w:marBottom w:val="0"/>
      <w:divBdr>
        <w:top w:val="none" w:sz="0" w:space="0" w:color="auto"/>
        <w:left w:val="none" w:sz="0" w:space="0" w:color="auto"/>
        <w:bottom w:val="none" w:sz="0" w:space="0" w:color="auto"/>
        <w:right w:val="none" w:sz="0" w:space="0" w:color="auto"/>
      </w:divBdr>
    </w:div>
    <w:div w:id="65230860">
      <w:bodyDiv w:val="1"/>
      <w:marLeft w:val="0"/>
      <w:marRight w:val="0"/>
      <w:marTop w:val="0"/>
      <w:marBottom w:val="0"/>
      <w:divBdr>
        <w:top w:val="none" w:sz="0" w:space="0" w:color="auto"/>
        <w:left w:val="none" w:sz="0" w:space="0" w:color="auto"/>
        <w:bottom w:val="none" w:sz="0" w:space="0" w:color="auto"/>
        <w:right w:val="none" w:sz="0" w:space="0" w:color="auto"/>
      </w:divBdr>
    </w:div>
    <w:div w:id="81418747">
      <w:bodyDiv w:val="1"/>
      <w:marLeft w:val="0"/>
      <w:marRight w:val="0"/>
      <w:marTop w:val="0"/>
      <w:marBottom w:val="0"/>
      <w:divBdr>
        <w:top w:val="none" w:sz="0" w:space="0" w:color="auto"/>
        <w:left w:val="none" w:sz="0" w:space="0" w:color="auto"/>
        <w:bottom w:val="none" w:sz="0" w:space="0" w:color="auto"/>
        <w:right w:val="none" w:sz="0" w:space="0" w:color="auto"/>
      </w:divBdr>
    </w:div>
    <w:div w:id="97067651">
      <w:bodyDiv w:val="1"/>
      <w:marLeft w:val="0"/>
      <w:marRight w:val="0"/>
      <w:marTop w:val="0"/>
      <w:marBottom w:val="0"/>
      <w:divBdr>
        <w:top w:val="none" w:sz="0" w:space="0" w:color="auto"/>
        <w:left w:val="none" w:sz="0" w:space="0" w:color="auto"/>
        <w:bottom w:val="none" w:sz="0" w:space="0" w:color="auto"/>
        <w:right w:val="none" w:sz="0" w:space="0" w:color="auto"/>
      </w:divBdr>
    </w:div>
    <w:div w:id="182788090">
      <w:bodyDiv w:val="1"/>
      <w:marLeft w:val="0"/>
      <w:marRight w:val="0"/>
      <w:marTop w:val="0"/>
      <w:marBottom w:val="0"/>
      <w:divBdr>
        <w:top w:val="none" w:sz="0" w:space="0" w:color="auto"/>
        <w:left w:val="none" w:sz="0" w:space="0" w:color="auto"/>
        <w:bottom w:val="none" w:sz="0" w:space="0" w:color="auto"/>
        <w:right w:val="none" w:sz="0" w:space="0" w:color="auto"/>
      </w:divBdr>
    </w:div>
    <w:div w:id="194084319">
      <w:bodyDiv w:val="1"/>
      <w:marLeft w:val="0"/>
      <w:marRight w:val="0"/>
      <w:marTop w:val="0"/>
      <w:marBottom w:val="0"/>
      <w:divBdr>
        <w:top w:val="none" w:sz="0" w:space="0" w:color="auto"/>
        <w:left w:val="none" w:sz="0" w:space="0" w:color="auto"/>
        <w:bottom w:val="none" w:sz="0" w:space="0" w:color="auto"/>
        <w:right w:val="none" w:sz="0" w:space="0" w:color="auto"/>
      </w:divBdr>
    </w:div>
    <w:div w:id="278607741">
      <w:bodyDiv w:val="1"/>
      <w:marLeft w:val="0"/>
      <w:marRight w:val="0"/>
      <w:marTop w:val="0"/>
      <w:marBottom w:val="0"/>
      <w:divBdr>
        <w:top w:val="none" w:sz="0" w:space="0" w:color="auto"/>
        <w:left w:val="none" w:sz="0" w:space="0" w:color="auto"/>
        <w:bottom w:val="none" w:sz="0" w:space="0" w:color="auto"/>
        <w:right w:val="none" w:sz="0" w:space="0" w:color="auto"/>
      </w:divBdr>
    </w:div>
    <w:div w:id="304941584">
      <w:bodyDiv w:val="1"/>
      <w:marLeft w:val="0"/>
      <w:marRight w:val="0"/>
      <w:marTop w:val="0"/>
      <w:marBottom w:val="0"/>
      <w:divBdr>
        <w:top w:val="none" w:sz="0" w:space="0" w:color="auto"/>
        <w:left w:val="none" w:sz="0" w:space="0" w:color="auto"/>
        <w:bottom w:val="none" w:sz="0" w:space="0" w:color="auto"/>
        <w:right w:val="none" w:sz="0" w:space="0" w:color="auto"/>
      </w:divBdr>
    </w:div>
    <w:div w:id="305551556">
      <w:bodyDiv w:val="1"/>
      <w:marLeft w:val="0"/>
      <w:marRight w:val="0"/>
      <w:marTop w:val="0"/>
      <w:marBottom w:val="0"/>
      <w:divBdr>
        <w:top w:val="none" w:sz="0" w:space="0" w:color="auto"/>
        <w:left w:val="none" w:sz="0" w:space="0" w:color="auto"/>
        <w:bottom w:val="none" w:sz="0" w:space="0" w:color="auto"/>
        <w:right w:val="none" w:sz="0" w:space="0" w:color="auto"/>
      </w:divBdr>
    </w:div>
    <w:div w:id="361128770">
      <w:bodyDiv w:val="1"/>
      <w:marLeft w:val="0"/>
      <w:marRight w:val="0"/>
      <w:marTop w:val="0"/>
      <w:marBottom w:val="0"/>
      <w:divBdr>
        <w:top w:val="none" w:sz="0" w:space="0" w:color="auto"/>
        <w:left w:val="none" w:sz="0" w:space="0" w:color="auto"/>
        <w:bottom w:val="none" w:sz="0" w:space="0" w:color="auto"/>
        <w:right w:val="none" w:sz="0" w:space="0" w:color="auto"/>
      </w:divBdr>
    </w:div>
    <w:div w:id="362286664">
      <w:bodyDiv w:val="1"/>
      <w:marLeft w:val="0"/>
      <w:marRight w:val="0"/>
      <w:marTop w:val="0"/>
      <w:marBottom w:val="0"/>
      <w:divBdr>
        <w:top w:val="none" w:sz="0" w:space="0" w:color="auto"/>
        <w:left w:val="none" w:sz="0" w:space="0" w:color="auto"/>
        <w:bottom w:val="none" w:sz="0" w:space="0" w:color="auto"/>
        <w:right w:val="none" w:sz="0" w:space="0" w:color="auto"/>
      </w:divBdr>
    </w:div>
    <w:div w:id="362484716">
      <w:bodyDiv w:val="1"/>
      <w:marLeft w:val="0"/>
      <w:marRight w:val="0"/>
      <w:marTop w:val="0"/>
      <w:marBottom w:val="0"/>
      <w:divBdr>
        <w:top w:val="none" w:sz="0" w:space="0" w:color="auto"/>
        <w:left w:val="none" w:sz="0" w:space="0" w:color="auto"/>
        <w:bottom w:val="none" w:sz="0" w:space="0" w:color="auto"/>
        <w:right w:val="none" w:sz="0" w:space="0" w:color="auto"/>
      </w:divBdr>
    </w:div>
    <w:div w:id="388303240">
      <w:bodyDiv w:val="1"/>
      <w:marLeft w:val="0"/>
      <w:marRight w:val="0"/>
      <w:marTop w:val="0"/>
      <w:marBottom w:val="0"/>
      <w:divBdr>
        <w:top w:val="none" w:sz="0" w:space="0" w:color="auto"/>
        <w:left w:val="none" w:sz="0" w:space="0" w:color="auto"/>
        <w:bottom w:val="none" w:sz="0" w:space="0" w:color="auto"/>
        <w:right w:val="none" w:sz="0" w:space="0" w:color="auto"/>
      </w:divBdr>
    </w:div>
    <w:div w:id="467212907">
      <w:bodyDiv w:val="1"/>
      <w:marLeft w:val="0"/>
      <w:marRight w:val="0"/>
      <w:marTop w:val="0"/>
      <w:marBottom w:val="0"/>
      <w:divBdr>
        <w:top w:val="none" w:sz="0" w:space="0" w:color="auto"/>
        <w:left w:val="none" w:sz="0" w:space="0" w:color="auto"/>
        <w:bottom w:val="none" w:sz="0" w:space="0" w:color="auto"/>
        <w:right w:val="none" w:sz="0" w:space="0" w:color="auto"/>
      </w:divBdr>
    </w:div>
    <w:div w:id="609166172">
      <w:bodyDiv w:val="1"/>
      <w:marLeft w:val="0"/>
      <w:marRight w:val="0"/>
      <w:marTop w:val="0"/>
      <w:marBottom w:val="0"/>
      <w:divBdr>
        <w:top w:val="none" w:sz="0" w:space="0" w:color="auto"/>
        <w:left w:val="none" w:sz="0" w:space="0" w:color="auto"/>
        <w:bottom w:val="none" w:sz="0" w:space="0" w:color="auto"/>
        <w:right w:val="none" w:sz="0" w:space="0" w:color="auto"/>
      </w:divBdr>
    </w:div>
    <w:div w:id="640694554">
      <w:bodyDiv w:val="1"/>
      <w:marLeft w:val="0"/>
      <w:marRight w:val="0"/>
      <w:marTop w:val="0"/>
      <w:marBottom w:val="0"/>
      <w:divBdr>
        <w:top w:val="none" w:sz="0" w:space="0" w:color="auto"/>
        <w:left w:val="none" w:sz="0" w:space="0" w:color="auto"/>
        <w:bottom w:val="none" w:sz="0" w:space="0" w:color="auto"/>
        <w:right w:val="none" w:sz="0" w:space="0" w:color="auto"/>
      </w:divBdr>
    </w:div>
    <w:div w:id="676465693">
      <w:bodyDiv w:val="1"/>
      <w:marLeft w:val="0"/>
      <w:marRight w:val="0"/>
      <w:marTop w:val="0"/>
      <w:marBottom w:val="0"/>
      <w:divBdr>
        <w:top w:val="none" w:sz="0" w:space="0" w:color="auto"/>
        <w:left w:val="none" w:sz="0" w:space="0" w:color="auto"/>
        <w:bottom w:val="none" w:sz="0" w:space="0" w:color="auto"/>
        <w:right w:val="none" w:sz="0" w:space="0" w:color="auto"/>
      </w:divBdr>
    </w:div>
    <w:div w:id="694699919">
      <w:bodyDiv w:val="1"/>
      <w:marLeft w:val="0"/>
      <w:marRight w:val="0"/>
      <w:marTop w:val="0"/>
      <w:marBottom w:val="0"/>
      <w:divBdr>
        <w:top w:val="none" w:sz="0" w:space="0" w:color="auto"/>
        <w:left w:val="none" w:sz="0" w:space="0" w:color="auto"/>
        <w:bottom w:val="none" w:sz="0" w:space="0" w:color="auto"/>
        <w:right w:val="none" w:sz="0" w:space="0" w:color="auto"/>
      </w:divBdr>
    </w:div>
    <w:div w:id="860047159">
      <w:bodyDiv w:val="1"/>
      <w:marLeft w:val="0"/>
      <w:marRight w:val="0"/>
      <w:marTop w:val="0"/>
      <w:marBottom w:val="0"/>
      <w:divBdr>
        <w:top w:val="none" w:sz="0" w:space="0" w:color="auto"/>
        <w:left w:val="none" w:sz="0" w:space="0" w:color="auto"/>
        <w:bottom w:val="none" w:sz="0" w:space="0" w:color="auto"/>
        <w:right w:val="none" w:sz="0" w:space="0" w:color="auto"/>
      </w:divBdr>
    </w:div>
    <w:div w:id="908073426">
      <w:bodyDiv w:val="1"/>
      <w:marLeft w:val="0"/>
      <w:marRight w:val="0"/>
      <w:marTop w:val="0"/>
      <w:marBottom w:val="0"/>
      <w:divBdr>
        <w:top w:val="none" w:sz="0" w:space="0" w:color="auto"/>
        <w:left w:val="none" w:sz="0" w:space="0" w:color="auto"/>
        <w:bottom w:val="none" w:sz="0" w:space="0" w:color="auto"/>
        <w:right w:val="none" w:sz="0" w:space="0" w:color="auto"/>
      </w:divBdr>
    </w:div>
    <w:div w:id="926157706">
      <w:bodyDiv w:val="1"/>
      <w:marLeft w:val="0"/>
      <w:marRight w:val="0"/>
      <w:marTop w:val="0"/>
      <w:marBottom w:val="0"/>
      <w:divBdr>
        <w:top w:val="none" w:sz="0" w:space="0" w:color="auto"/>
        <w:left w:val="none" w:sz="0" w:space="0" w:color="auto"/>
        <w:bottom w:val="none" w:sz="0" w:space="0" w:color="auto"/>
        <w:right w:val="none" w:sz="0" w:space="0" w:color="auto"/>
      </w:divBdr>
    </w:div>
    <w:div w:id="931857435">
      <w:bodyDiv w:val="1"/>
      <w:marLeft w:val="0"/>
      <w:marRight w:val="0"/>
      <w:marTop w:val="0"/>
      <w:marBottom w:val="0"/>
      <w:divBdr>
        <w:top w:val="none" w:sz="0" w:space="0" w:color="auto"/>
        <w:left w:val="none" w:sz="0" w:space="0" w:color="auto"/>
        <w:bottom w:val="none" w:sz="0" w:space="0" w:color="auto"/>
        <w:right w:val="none" w:sz="0" w:space="0" w:color="auto"/>
      </w:divBdr>
    </w:div>
    <w:div w:id="939335880">
      <w:bodyDiv w:val="1"/>
      <w:marLeft w:val="0"/>
      <w:marRight w:val="0"/>
      <w:marTop w:val="0"/>
      <w:marBottom w:val="0"/>
      <w:divBdr>
        <w:top w:val="none" w:sz="0" w:space="0" w:color="auto"/>
        <w:left w:val="none" w:sz="0" w:space="0" w:color="auto"/>
        <w:bottom w:val="none" w:sz="0" w:space="0" w:color="auto"/>
        <w:right w:val="none" w:sz="0" w:space="0" w:color="auto"/>
      </w:divBdr>
    </w:div>
    <w:div w:id="940185898">
      <w:bodyDiv w:val="1"/>
      <w:marLeft w:val="0"/>
      <w:marRight w:val="0"/>
      <w:marTop w:val="0"/>
      <w:marBottom w:val="0"/>
      <w:divBdr>
        <w:top w:val="none" w:sz="0" w:space="0" w:color="auto"/>
        <w:left w:val="none" w:sz="0" w:space="0" w:color="auto"/>
        <w:bottom w:val="none" w:sz="0" w:space="0" w:color="auto"/>
        <w:right w:val="none" w:sz="0" w:space="0" w:color="auto"/>
      </w:divBdr>
    </w:div>
    <w:div w:id="974946294">
      <w:bodyDiv w:val="1"/>
      <w:marLeft w:val="0"/>
      <w:marRight w:val="0"/>
      <w:marTop w:val="0"/>
      <w:marBottom w:val="0"/>
      <w:divBdr>
        <w:top w:val="none" w:sz="0" w:space="0" w:color="auto"/>
        <w:left w:val="none" w:sz="0" w:space="0" w:color="auto"/>
        <w:bottom w:val="none" w:sz="0" w:space="0" w:color="auto"/>
        <w:right w:val="none" w:sz="0" w:space="0" w:color="auto"/>
      </w:divBdr>
    </w:div>
    <w:div w:id="981813441">
      <w:bodyDiv w:val="1"/>
      <w:marLeft w:val="0"/>
      <w:marRight w:val="0"/>
      <w:marTop w:val="0"/>
      <w:marBottom w:val="0"/>
      <w:divBdr>
        <w:top w:val="none" w:sz="0" w:space="0" w:color="auto"/>
        <w:left w:val="none" w:sz="0" w:space="0" w:color="auto"/>
        <w:bottom w:val="none" w:sz="0" w:space="0" w:color="auto"/>
        <w:right w:val="none" w:sz="0" w:space="0" w:color="auto"/>
      </w:divBdr>
    </w:div>
    <w:div w:id="992874454">
      <w:bodyDiv w:val="1"/>
      <w:marLeft w:val="0"/>
      <w:marRight w:val="0"/>
      <w:marTop w:val="0"/>
      <w:marBottom w:val="0"/>
      <w:divBdr>
        <w:top w:val="none" w:sz="0" w:space="0" w:color="auto"/>
        <w:left w:val="none" w:sz="0" w:space="0" w:color="auto"/>
        <w:bottom w:val="none" w:sz="0" w:space="0" w:color="auto"/>
        <w:right w:val="none" w:sz="0" w:space="0" w:color="auto"/>
      </w:divBdr>
    </w:div>
    <w:div w:id="1036589587">
      <w:bodyDiv w:val="1"/>
      <w:marLeft w:val="0"/>
      <w:marRight w:val="0"/>
      <w:marTop w:val="0"/>
      <w:marBottom w:val="0"/>
      <w:divBdr>
        <w:top w:val="none" w:sz="0" w:space="0" w:color="auto"/>
        <w:left w:val="none" w:sz="0" w:space="0" w:color="auto"/>
        <w:bottom w:val="none" w:sz="0" w:space="0" w:color="auto"/>
        <w:right w:val="none" w:sz="0" w:space="0" w:color="auto"/>
      </w:divBdr>
    </w:div>
    <w:div w:id="1045761937">
      <w:bodyDiv w:val="1"/>
      <w:marLeft w:val="0"/>
      <w:marRight w:val="0"/>
      <w:marTop w:val="0"/>
      <w:marBottom w:val="0"/>
      <w:divBdr>
        <w:top w:val="none" w:sz="0" w:space="0" w:color="auto"/>
        <w:left w:val="none" w:sz="0" w:space="0" w:color="auto"/>
        <w:bottom w:val="none" w:sz="0" w:space="0" w:color="auto"/>
        <w:right w:val="none" w:sz="0" w:space="0" w:color="auto"/>
      </w:divBdr>
    </w:div>
    <w:div w:id="1121076253">
      <w:bodyDiv w:val="1"/>
      <w:marLeft w:val="0"/>
      <w:marRight w:val="0"/>
      <w:marTop w:val="0"/>
      <w:marBottom w:val="0"/>
      <w:divBdr>
        <w:top w:val="none" w:sz="0" w:space="0" w:color="auto"/>
        <w:left w:val="none" w:sz="0" w:space="0" w:color="auto"/>
        <w:bottom w:val="none" w:sz="0" w:space="0" w:color="auto"/>
        <w:right w:val="none" w:sz="0" w:space="0" w:color="auto"/>
      </w:divBdr>
    </w:div>
    <w:div w:id="1372152704">
      <w:bodyDiv w:val="1"/>
      <w:marLeft w:val="0"/>
      <w:marRight w:val="0"/>
      <w:marTop w:val="0"/>
      <w:marBottom w:val="0"/>
      <w:divBdr>
        <w:top w:val="none" w:sz="0" w:space="0" w:color="auto"/>
        <w:left w:val="none" w:sz="0" w:space="0" w:color="auto"/>
        <w:bottom w:val="none" w:sz="0" w:space="0" w:color="auto"/>
        <w:right w:val="none" w:sz="0" w:space="0" w:color="auto"/>
      </w:divBdr>
    </w:div>
    <w:div w:id="1448357697">
      <w:bodyDiv w:val="1"/>
      <w:marLeft w:val="0"/>
      <w:marRight w:val="0"/>
      <w:marTop w:val="0"/>
      <w:marBottom w:val="0"/>
      <w:divBdr>
        <w:top w:val="none" w:sz="0" w:space="0" w:color="auto"/>
        <w:left w:val="none" w:sz="0" w:space="0" w:color="auto"/>
        <w:bottom w:val="none" w:sz="0" w:space="0" w:color="auto"/>
        <w:right w:val="none" w:sz="0" w:space="0" w:color="auto"/>
      </w:divBdr>
    </w:div>
    <w:div w:id="1533804645">
      <w:bodyDiv w:val="1"/>
      <w:marLeft w:val="0"/>
      <w:marRight w:val="0"/>
      <w:marTop w:val="0"/>
      <w:marBottom w:val="0"/>
      <w:divBdr>
        <w:top w:val="none" w:sz="0" w:space="0" w:color="auto"/>
        <w:left w:val="none" w:sz="0" w:space="0" w:color="auto"/>
        <w:bottom w:val="none" w:sz="0" w:space="0" w:color="auto"/>
        <w:right w:val="none" w:sz="0" w:space="0" w:color="auto"/>
      </w:divBdr>
    </w:div>
    <w:div w:id="1575820038">
      <w:bodyDiv w:val="1"/>
      <w:marLeft w:val="0"/>
      <w:marRight w:val="0"/>
      <w:marTop w:val="0"/>
      <w:marBottom w:val="0"/>
      <w:divBdr>
        <w:top w:val="none" w:sz="0" w:space="0" w:color="auto"/>
        <w:left w:val="none" w:sz="0" w:space="0" w:color="auto"/>
        <w:bottom w:val="none" w:sz="0" w:space="0" w:color="auto"/>
        <w:right w:val="none" w:sz="0" w:space="0" w:color="auto"/>
      </w:divBdr>
    </w:div>
    <w:div w:id="1581524409">
      <w:bodyDiv w:val="1"/>
      <w:marLeft w:val="0"/>
      <w:marRight w:val="0"/>
      <w:marTop w:val="0"/>
      <w:marBottom w:val="0"/>
      <w:divBdr>
        <w:top w:val="none" w:sz="0" w:space="0" w:color="auto"/>
        <w:left w:val="none" w:sz="0" w:space="0" w:color="auto"/>
        <w:bottom w:val="none" w:sz="0" w:space="0" w:color="auto"/>
        <w:right w:val="none" w:sz="0" w:space="0" w:color="auto"/>
      </w:divBdr>
    </w:div>
    <w:div w:id="1684895161">
      <w:bodyDiv w:val="1"/>
      <w:marLeft w:val="0"/>
      <w:marRight w:val="0"/>
      <w:marTop w:val="0"/>
      <w:marBottom w:val="0"/>
      <w:divBdr>
        <w:top w:val="none" w:sz="0" w:space="0" w:color="auto"/>
        <w:left w:val="none" w:sz="0" w:space="0" w:color="auto"/>
        <w:bottom w:val="none" w:sz="0" w:space="0" w:color="auto"/>
        <w:right w:val="none" w:sz="0" w:space="0" w:color="auto"/>
      </w:divBdr>
    </w:div>
    <w:div w:id="1712873666">
      <w:bodyDiv w:val="1"/>
      <w:marLeft w:val="0"/>
      <w:marRight w:val="0"/>
      <w:marTop w:val="0"/>
      <w:marBottom w:val="0"/>
      <w:divBdr>
        <w:top w:val="none" w:sz="0" w:space="0" w:color="auto"/>
        <w:left w:val="none" w:sz="0" w:space="0" w:color="auto"/>
        <w:bottom w:val="none" w:sz="0" w:space="0" w:color="auto"/>
        <w:right w:val="none" w:sz="0" w:space="0" w:color="auto"/>
      </w:divBdr>
    </w:div>
    <w:div w:id="1740010839">
      <w:bodyDiv w:val="1"/>
      <w:marLeft w:val="0"/>
      <w:marRight w:val="0"/>
      <w:marTop w:val="0"/>
      <w:marBottom w:val="0"/>
      <w:divBdr>
        <w:top w:val="none" w:sz="0" w:space="0" w:color="auto"/>
        <w:left w:val="none" w:sz="0" w:space="0" w:color="auto"/>
        <w:bottom w:val="none" w:sz="0" w:space="0" w:color="auto"/>
        <w:right w:val="none" w:sz="0" w:space="0" w:color="auto"/>
      </w:divBdr>
    </w:div>
    <w:div w:id="1847405230">
      <w:bodyDiv w:val="1"/>
      <w:marLeft w:val="0"/>
      <w:marRight w:val="0"/>
      <w:marTop w:val="0"/>
      <w:marBottom w:val="0"/>
      <w:divBdr>
        <w:top w:val="none" w:sz="0" w:space="0" w:color="auto"/>
        <w:left w:val="none" w:sz="0" w:space="0" w:color="auto"/>
        <w:bottom w:val="none" w:sz="0" w:space="0" w:color="auto"/>
        <w:right w:val="none" w:sz="0" w:space="0" w:color="auto"/>
      </w:divBdr>
    </w:div>
    <w:div w:id="1851330007">
      <w:bodyDiv w:val="1"/>
      <w:marLeft w:val="0"/>
      <w:marRight w:val="0"/>
      <w:marTop w:val="0"/>
      <w:marBottom w:val="0"/>
      <w:divBdr>
        <w:top w:val="none" w:sz="0" w:space="0" w:color="auto"/>
        <w:left w:val="none" w:sz="0" w:space="0" w:color="auto"/>
        <w:bottom w:val="none" w:sz="0" w:space="0" w:color="auto"/>
        <w:right w:val="none" w:sz="0" w:space="0" w:color="auto"/>
      </w:divBdr>
    </w:div>
    <w:div w:id="1879199806">
      <w:bodyDiv w:val="1"/>
      <w:marLeft w:val="0"/>
      <w:marRight w:val="0"/>
      <w:marTop w:val="0"/>
      <w:marBottom w:val="0"/>
      <w:divBdr>
        <w:top w:val="none" w:sz="0" w:space="0" w:color="auto"/>
        <w:left w:val="none" w:sz="0" w:space="0" w:color="auto"/>
        <w:bottom w:val="none" w:sz="0" w:space="0" w:color="auto"/>
        <w:right w:val="none" w:sz="0" w:space="0" w:color="auto"/>
      </w:divBdr>
    </w:div>
    <w:div w:id="1884054147">
      <w:bodyDiv w:val="1"/>
      <w:marLeft w:val="0"/>
      <w:marRight w:val="0"/>
      <w:marTop w:val="0"/>
      <w:marBottom w:val="0"/>
      <w:divBdr>
        <w:top w:val="none" w:sz="0" w:space="0" w:color="auto"/>
        <w:left w:val="none" w:sz="0" w:space="0" w:color="auto"/>
        <w:bottom w:val="none" w:sz="0" w:space="0" w:color="auto"/>
        <w:right w:val="none" w:sz="0" w:space="0" w:color="auto"/>
      </w:divBdr>
    </w:div>
    <w:div w:id="1895239638">
      <w:bodyDiv w:val="1"/>
      <w:marLeft w:val="0"/>
      <w:marRight w:val="0"/>
      <w:marTop w:val="0"/>
      <w:marBottom w:val="0"/>
      <w:divBdr>
        <w:top w:val="none" w:sz="0" w:space="0" w:color="auto"/>
        <w:left w:val="none" w:sz="0" w:space="0" w:color="auto"/>
        <w:bottom w:val="none" w:sz="0" w:space="0" w:color="auto"/>
        <w:right w:val="none" w:sz="0" w:space="0" w:color="auto"/>
      </w:divBdr>
    </w:div>
    <w:div w:id="1947611444">
      <w:bodyDiv w:val="1"/>
      <w:marLeft w:val="0"/>
      <w:marRight w:val="0"/>
      <w:marTop w:val="0"/>
      <w:marBottom w:val="0"/>
      <w:divBdr>
        <w:top w:val="none" w:sz="0" w:space="0" w:color="auto"/>
        <w:left w:val="none" w:sz="0" w:space="0" w:color="auto"/>
        <w:bottom w:val="none" w:sz="0" w:space="0" w:color="auto"/>
        <w:right w:val="none" w:sz="0" w:space="0" w:color="auto"/>
      </w:divBdr>
    </w:div>
    <w:div w:id="2067562176">
      <w:bodyDiv w:val="1"/>
      <w:marLeft w:val="0"/>
      <w:marRight w:val="0"/>
      <w:marTop w:val="0"/>
      <w:marBottom w:val="0"/>
      <w:divBdr>
        <w:top w:val="none" w:sz="0" w:space="0" w:color="auto"/>
        <w:left w:val="none" w:sz="0" w:space="0" w:color="auto"/>
        <w:bottom w:val="none" w:sz="0" w:space="0" w:color="auto"/>
        <w:right w:val="none" w:sz="0" w:space="0" w:color="auto"/>
      </w:divBdr>
    </w:div>
    <w:div w:id="2132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udoc.echr.coe.int/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7F33-02DD-4FAC-ADED-0D7441D0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115</Pages>
  <Words>42478</Words>
  <Characters>242129</Characters>
  <Application>Microsoft Office Word</Application>
  <DocSecurity>0</DocSecurity>
  <Lines>2017</Lines>
  <Paragraphs>568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Benan</dc:creator>
  <cp:keywords/>
  <dc:description/>
  <cp:lastModifiedBy>Benan</cp:lastModifiedBy>
  <cp:revision>55</cp:revision>
  <cp:lastPrinted>2020-12-27T22:23:00Z</cp:lastPrinted>
  <dcterms:created xsi:type="dcterms:W3CDTF">2020-12-25T13:19:00Z</dcterms:created>
  <dcterms:modified xsi:type="dcterms:W3CDTF">2020-12-27T22:58:00Z</dcterms:modified>
</cp:coreProperties>
</file>